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5663" w:hanging="0"/>
        <w:rPr>
          <w:rFonts w:ascii="Times New Roman" w:hAnsi="Times New Roman" w:cs="Mangal"/>
          <w:sz w:val="24"/>
          <w:szCs w:val="24"/>
          <w:lang w:val="uk-UA" w:bidi="hi-IN"/>
        </w:rPr>
      </w:pPr>
      <w:r>
        <w:rPr>
          <w:rFonts w:ascii="Times New Roman" w:hAnsi="Times New Roman"/>
          <w:sz w:val="24"/>
          <w:szCs w:val="24"/>
          <w:lang w:val="uk-UA" w:bidi="hi-IN"/>
        </w:rPr>
        <w:t>Додаток 3</w:t>
      </w:r>
    </w:p>
    <w:p>
      <w:pPr>
        <w:pStyle w:val="Normal"/>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t>до договору про постачання</w:t>
      </w:r>
    </w:p>
    <w:p>
      <w:pPr>
        <w:pStyle w:val="Normal"/>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t xml:space="preserve">електричної енергії </w:t>
      </w:r>
    </w:p>
    <w:p>
      <w:pPr>
        <w:pStyle w:val="Normal"/>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t xml:space="preserve">постачальником </w:t>
      </w:r>
    </w:p>
    <w:p>
      <w:pPr>
        <w:pStyle w:val="Normal"/>
        <w:tabs>
          <w:tab w:val="clear" w:pos="708"/>
          <w:tab w:val="left" w:pos="141" w:leader="none"/>
        </w:tabs>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t>універсальних послуг</w:t>
      </w:r>
    </w:p>
    <w:p>
      <w:pPr>
        <w:pStyle w:val="Normal"/>
        <w:tabs>
          <w:tab w:val="clear" w:pos="708"/>
          <w:tab w:val="left" w:pos="141" w:leader="none"/>
        </w:tabs>
        <w:spacing w:lineRule="auto" w:line="240" w:before="0" w:after="0"/>
        <w:ind w:left="5663" w:hanging="0"/>
        <w:rPr>
          <w:rFonts w:ascii="Times New Roman" w:hAnsi="Times New Roman" w:cs="Mangal"/>
          <w:sz w:val="24"/>
          <w:szCs w:val="24"/>
          <w:lang w:bidi="hi-IN"/>
        </w:rPr>
      </w:pPr>
      <w:r>
        <w:rPr>
          <w:rFonts w:cs="Mangal" w:ascii="Times New Roman" w:hAnsi="Times New Roman"/>
          <w:sz w:val="24"/>
          <w:szCs w:val="24"/>
          <w:lang w:bidi="hi-IN"/>
        </w:rPr>
      </w:r>
    </w:p>
    <w:p>
      <w:pPr>
        <w:pStyle w:val="Normal"/>
        <w:tabs>
          <w:tab w:val="clear" w:pos="708"/>
          <w:tab w:val="left" w:pos="141" w:leader="none"/>
        </w:tabs>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r>
    </w:p>
    <w:p>
      <w:pPr>
        <w:pStyle w:val="NormalWeb"/>
        <w:tabs>
          <w:tab w:val="clear" w:pos="708"/>
          <w:tab w:val="left" w:pos="9353" w:leader="none"/>
        </w:tabs>
        <w:spacing w:beforeAutospacing="0" w:before="0" w:afterAutospacing="0" w:after="0"/>
        <w:jc w:val="center"/>
        <w:rPr>
          <w:rFonts w:cs="Mangal"/>
          <w:b/>
          <w:b/>
          <w:lang w:val="uk-UA"/>
        </w:rPr>
      </w:pPr>
      <w:r>
        <w:rPr>
          <w:rFonts w:cs="Mangal"/>
          <w:b/>
          <w:lang w:val="uk-UA"/>
        </w:rPr>
        <w:t>Комерційна пропозиція «Універсальна бюджет»</w:t>
      </w:r>
    </w:p>
    <w:p>
      <w:pPr>
        <w:pStyle w:val="NormalWeb"/>
        <w:tabs>
          <w:tab w:val="clear" w:pos="708"/>
          <w:tab w:val="left" w:pos="9353" w:leader="none"/>
        </w:tabs>
        <w:spacing w:beforeAutospacing="0" w:before="0" w:afterAutospacing="0" w:after="0"/>
        <w:jc w:val="center"/>
        <w:rPr>
          <w:rFonts w:cs="Mangal"/>
          <w:b/>
          <w:b/>
          <w:lang w:val="uk-UA"/>
        </w:rPr>
      </w:pPr>
      <w:r>
        <w:rPr>
          <w:rFonts w:cs="Mangal"/>
          <w:b/>
          <w:lang w:val="uk-UA"/>
        </w:rPr>
        <w:t>про постачання електричної енергії постачальником універсальних послуг ТОВ «Запоріжжяелектропостачання» бюджетним установам</w:t>
      </w:r>
    </w:p>
    <w:p>
      <w:pPr>
        <w:pStyle w:val="NormalWeb"/>
        <w:tabs>
          <w:tab w:val="clear" w:pos="708"/>
          <w:tab w:val="left" w:pos="9353" w:leader="none"/>
        </w:tabs>
        <w:spacing w:beforeAutospacing="0" w:before="0" w:afterAutospacing="0" w:after="0"/>
        <w:jc w:val="center"/>
        <w:rPr/>
      </w:pPr>
      <w:r>
        <w:rPr>
          <w:rFonts w:cs="Mangal"/>
          <w:b/>
          <w:lang w:val="uk-UA"/>
        </w:rPr>
        <w:t>на період з 01.0</w:t>
      </w:r>
      <w:r>
        <w:rPr>
          <w:rFonts w:cs="Mangal"/>
          <w:b/>
          <w:lang w:val="uk-UA"/>
        </w:rPr>
        <w:t>1</w:t>
      </w:r>
      <w:r>
        <w:rPr>
          <w:rFonts w:cs="Mangal"/>
          <w:b/>
          <w:lang w:val="uk-UA"/>
        </w:rPr>
        <w:t>.2020 по 31.12.2020</w:t>
      </w:r>
      <w:bookmarkStart w:id="0" w:name="_GoBack"/>
      <w:bookmarkEnd w:id="0"/>
    </w:p>
    <w:tbl>
      <w:tblPr>
        <w:tblW w:w="9379" w:type="dxa"/>
        <w:jc w:val="left"/>
        <w:tblInd w:w="36" w:type="dxa"/>
        <w:tblCellMar>
          <w:top w:w="0" w:type="dxa"/>
          <w:left w:w="36" w:type="dxa"/>
          <w:bottom w:w="0" w:type="dxa"/>
          <w:right w:w="36" w:type="dxa"/>
        </w:tblCellMar>
        <w:tblLook w:val="0000" w:noVBand="0" w:noHBand="0" w:lastColumn="0" w:firstColumn="0" w:lastRow="0" w:firstRow="0"/>
      </w:tblPr>
      <w:tblGrid>
        <w:gridCol w:w="2374"/>
        <w:gridCol w:w="7004"/>
      </w:tblGrid>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1. Критерії, яким має відповідати особа, що обирає дану комерційну пропозицію</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Spacing"/>
              <w:numPr>
                <w:ilvl w:val="0"/>
                <w:numId w:val="1"/>
              </w:numPr>
              <w:ind w:left="714" w:hanging="357"/>
              <w:rPr>
                <w:rFonts w:ascii="Times New Roman" w:hAnsi="Times New Roman"/>
                <w:sz w:val="24"/>
                <w:szCs w:val="24"/>
              </w:rPr>
            </w:pPr>
            <w:r>
              <w:rPr>
                <w:rFonts w:ascii="Times New Roman" w:hAnsi="Times New Roman"/>
                <w:sz w:val="24"/>
                <w:szCs w:val="24"/>
              </w:rPr>
              <w:t xml:space="preserve">заявник відповідно до чинного законодавства України має право на отримання універсальної послуги; </w:t>
            </w:r>
          </w:p>
          <w:p>
            <w:pPr>
              <w:pStyle w:val="NoSpacing"/>
              <w:numPr>
                <w:ilvl w:val="0"/>
                <w:numId w:val="1"/>
              </w:numPr>
              <w:ind w:left="714" w:hanging="357"/>
              <w:rPr>
                <w:rFonts w:ascii="Times New Roman" w:hAnsi="Times New Roman"/>
                <w:sz w:val="24"/>
                <w:szCs w:val="24"/>
              </w:rPr>
            </w:pPr>
            <w:r>
              <w:rPr>
                <w:rFonts w:ascii="Times New Roman" w:hAnsi="Times New Roman"/>
                <w:sz w:val="24"/>
                <w:szCs w:val="24"/>
              </w:rPr>
              <w:t xml:space="preserve">заявник є бюджетною установою (орган державної влади, орган місцевого самоврядування, а також організації, створені ними у встановленому порядку, що повністю утримуються за рахунок відповідно державного бюджету чи місцевого бюджету, бюджетні установи є неприбутковими); </w:t>
            </w:r>
          </w:p>
          <w:p>
            <w:pPr>
              <w:pStyle w:val="NoSpacing"/>
              <w:numPr>
                <w:ilvl w:val="0"/>
                <w:numId w:val="1"/>
              </w:numPr>
              <w:ind w:left="714" w:hanging="357"/>
              <w:rPr>
                <w:rFonts w:ascii="Times New Roman" w:hAnsi="Times New Roman"/>
                <w:sz w:val="24"/>
                <w:szCs w:val="24"/>
              </w:rPr>
            </w:pPr>
            <w:r>
              <w:rPr>
                <w:rFonts w:ascii="Times New Roman" w:hAnsi="Times New Roman"/>
                <w:sz w:val="24"/>
                <w:szCs w:val="24"/>
              </w:rPr>
              <w:t xml:space="preserve">наявний облік електричної енергії забезпечує можливість застосування цін (тарифів), передбачених даною комерційною пропозицією; </w:t>
            </w:r>
          </w:p>
          <w:p>
            <w:pPr>
              <w:pStyle w:val="NoSpacing"/>
              <w:numPr>
                <w:ilvl w:val="0"/>
                <w:numId w:val="1"/>
              </w:numPr>
              <w:ind w:left="714" w:hanging="357"/>
              <w:rPr>
                <w:rFonts w:ascii="Times New Roman" w:hAnsi="Times New Roman"/>
                <w:sz w:val="24"/>
                <w:szCs w:val="24"/>
              </w:rPr>
            </w:pPr>
            <w:r>
              <w:rPr>
                <w:rFonts w:ascii="Times New Roman" w:hAnsi="Times New Roman"/>
                <w:sz w:val="24"/>
                <w:szCs w:val="24"/>
              </w:rPr>
              <w:t xml:space="preserve">споживач приєднався до умов договору споживача про надання послуг з розподілу (передачі) електричної енергії; </w:t>
            </w:r>
          </w:p>
          <w:p>
            <w:pPr>
              <w:pStyle w:val="NoSpacing"/>
              <w:numPr>
                <w:ilvl w:val="0"/>
                <w:numId w:val="1"/>
              </w:numPr>
              <w:ind w:left="714" w:hanging="357"/>
              <w:jc w:val="both"/>
              <w:rPr>
                <w:rFonts w:ascii="Times New Roman" w:hAnsi="Times New Roman"/>
                <w:sz w:val="24"/>
                <w:szCs w:val="24"/>
                <w:lang w:val="ru-RU"/>
              </w:rPr>
            </w:pPr>
            <w:r>
              <w:rPr>
                <w:rFonts w:ascii="Times New Roman" w:hAnsi="Times New Roman"/>
                <w:sz w:val="24"/>
                <w:szCs w:val="24"/>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2. Територія надання послуги</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beforeAutospacing="0" w:before="0" w:afterAutospacing="0" w:after="0"/>
              <w:ind w:firstLine="335"/>
              <w:jc w:val="both"/>
              <w:rPr>
                <w:rFonts w:cs="Mangal"/>
                <w:lang w:val="uk-UA"/>
              </w:rPr>
            </w:pPr>
            <w:r>
              <w:rPr>
                <w:rFonts w:cs="Mangal"/>
                <w:lang w:val="uk-UA"/>
              </w:rPr>
              <w:t xml:space="preserve">Послуга надається в межах Запорізької області </w:t>
            </w:r>
            <w:r>
              <w:rPr>
                <w:rFonts w:cs="Mangal"/>
              </w:rPr>
              <w:t xml:space="preserve">та </w:t>
            </w:r>
            <w:r>
              <w:rPr>
                <w:rFonts w:cs="Mangal"/>
                <w:lang w:val="uk-UA"/>
              </w:rPr>
              <w:t xml:space="preserve">електричних мереж операторів системи розподілу: </w:t>
            </w:r>
          </w:p>
          <w:p>
            <w:pPr>
              <w:pStyle w:val="NormalWeb"/>
              <w:numPr>
                <w:ilvl w:val="0"/>
                <w:numId w:val="2"/>
              </w:numPr>
              <w:spacing w:beforeAutospacing="0" w:before="0" w:afterAutospacing="0" w:after="0"/>
              <w:jc w:val="both"/>
              <w:rPr>
                <w:rFonts w:cs="Mangal"/>
              </w:rPr>
            </w:pPr>
            <w:r>
              <w:rPr>
                <w:rFonts w:cs="Mangal"/>
                <w:lang w:val="uk-UA"/>
              </w:rPr>
              <w:t xml:space="preserve">ПАТ «Запоріжжяобленерго»; </w:t>
            </w:r>
          </w:p>
          <w:p>
            <w:pPr>
              <w:pStyle w:val="NormalWeb"/>
              <w:numPr>
                <w:ilvl w:val="0"/>
                <w:numId w:val="2"/>
              </w:numPr>
              <w:spacing w:beforeAutospacing="0" w:before="0" w:afterAutospacing="0" w:after="0"/>
              <w:jc w:val="both"/>
              <w:rPr>
                <w:rFonts w:cs="Mangal"/>
              </w:rPr>
            </w:pPr>
            <w:r>
              <w:rPr>
                <w:rFonts w:cs="Mangal"/>
                <w:lang w:val="uk-UA"/>
              </w:rPr>
              <w:t>АТ «Укрзалізниця».</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3. Ціна</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Постачання електричної енергії здійснюється за регульованими цінами (тарифами) на електроенергію, які розраховуються у відповідності до методики (порядку) розрахунку ціни на електричну енергію, затвердженої Регулятором.</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При зміні Регулятором тарифів/складових ціни на електричну енергію постачальника універсальних послуг, Постачальник застосовує при розрахунках нові тарифи/ціни з дати введення їх в дію Регулятором.</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Інформація щодо розмірів та порядку застосування тарифів/цін постачальника універсальних послуг розміщуються на сайті Регулятора: www.nerc.gov.ua та на сайті Постачальника: www.zpep.com.ua.</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4. Спосіб та термін оплати</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 xml:space="preserve">Розрахунковий період для обсягу спожитої електричної енергії становить один місяць, а саме: з 01 числа розрахункового місяця по останній день розрахункового місяця. </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Платежі за спожиту електричну енергію здійснюються у наступному порядку:</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- 1 платіж до 20 числа розрахункового місяця у розмірі 50% вартості заявленого обсягу споживання електричної енергії за відповідний розрахунковий період на підставі акту прийняття-передавання товарної продукції  та рахунку за спожиту електричну енергію;</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- 2 платіж за електричну енергію у розмірі різниці суми першого платежу та вартості спожитої в розрахунковому періоді електричної енергії в строк не більше 5 робочих днів після закінчення розрахункового періоду на підставі акту прийняття-передавання товарної продукції та рахунку за спожиту електричну енергію.</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Підставою для формування Постачальником рахунку на оплату спожитої електричної енергії за цим договором є підписаний сторонами акт прийняття-передавання товарної продукції.</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Оплата здійснюється на поточний рахунок із спеціальним режимом використання Постачальника (далі - спецрахунок), зазначений у Договорі або розрахункових документах.</w:t>
            </w:r>
          </w:p>
          <w:p>
            <w:pPr>
              <w:pStyle w:val="Normal"/>
              <w:spacing w:lineRule="auto" w:line="240" w:before="0" w:after="0"/>
              <w:ind w:firstLine="386"/>
              <w:jc w:val="both"/>
              <w:rPr>
                <w:rFonts w:ascii="Times New Roman" w:hAnsi="Times New Roman" w:cs="Mangal"/>
                <w:sz w:val="24"/>
                <w:szCs w:val="24"/>
                <w:lang w:val="uk-UA" w:bidi="hi-IN"/>
              </w:rPr>
            </w:pPr>
            <w:r>
              <w:rPr>
                <w:rFonts w:cs="Mangal" w:ascii="Times New Roman" w:hAnsi="Times New Roman"/>
                <w:sz w:val="24"/>
                <w:szCs w:val="24"/>
                <w:lang w:val="uk-UA" w:bidi="hi-IN"/>
              </w:rPr>
              <w:t>Оплата може бути здійснена через:</w:t>
            </w:r>
          </w:p>
          <w:p>
            <w:pPr>
              <w:pStyle w:val="ListParagraph"/>
              <w:numPr>
                <w:ilvl w:val="0"/>
                <w:numId w:val="4"/>
              </w:numPr>
              <w:spacing w:lineRule="auto" w:line="240" w:before="0" w:after="0"/>
              <w:contextualSpacing/>
              <w:jc w:val="both"/>
              <w:rPr>
                <w:rFonts w:ascii="Times New Roman" w:hAnsi="Times New Roman"/>
                <w:sz w:val="24"/>
                <w:szCs w:val="24"/>
                <w:lang w:val="uk-UA"/>
              </w:rPr>
            </w:pPr>
            <w:r>
              <w:rPr>
                <w:rFonts w:ascii="Times New Roman" w:hAnsi="Times New Roman"/>
                <w:sz w:val="24"/>
                <w:szCs w:val="24"/>
                <w:lang w:val="uk-UA"/>
              </w:rPr>
              <w:t xml:space="preserve">банківську платіжну систему; </w:t>
            </w:r>
          </w:p>
          <w:p>
            <w:pPr>
              <w:pStyle w:val="ListParagraph"/>
              <w:numPr>
                <w:ilvl w:val="0"/>
                <w:numId w:val="4"/>
              </w:numPr>
              <w:spacing w:lineRule="auto" w:line="240" w:before="0" w:after="0"/>
              <w:contextualSpacing/>
              <w:jc w:val="both"/>
              <w:rPr>
                <w:rFonts w:ascii="Times New Roman" w:hAnsi="Times New Roman"/>
                <w:sz w:val="24"/>
                <w:szCs w:val="24"/>
                <w:lang w:val="uk-UA"/>
              </w:rPr>
            </w:pPr>
            <w:r>
              <w:rPr>
                <w:rFonts w:ascii="Times New Roman" w:hAnsi="Times New Roman"/>
                <w:sz w:val="24"/>
                <w:szCs w:val="24"/>
                <w:lang w:val="uk-UA"/>
              </w:rPr>
              <w:t xml:space="preserve">особовий кабінет на сайті Постачальника; </w:t>
            </w:r>
          </w:p>
          <w:p>
            <w:pPr>
              <w:pStyle w:val="ListParagraph"/>
              <w:numPr>
                <w:ilvl w:val="0"/>
                <w:numId w:val="4"/>
              </w:numPr>
              <w:spacing w:lineRule="auto" w:line="240" w:before="0" w:after="0"/>
              <w:contextualSpacing/>
              <w:jc w:val="both"/>
              <w:rPr>
                <w:rFonts w:ascii="Times New Roman" w:hAnsi="Times New Roman"/>
                <w:sz w:val="24"/>
                <w:szCs w:val="24"/>
                <w:lang w:val="uk-UA"/>
              </w:rPr>
            </w:pPr>
            <w:r>
              <w:rPr>
                <w:rFonts w:ascii="Times New Roman" w:hAnsi="Times New Roman"/>
                <w:sz w:val="24"/>
                <w:szCs w:val="24"/>
                <w:lang w:val="uk-UA"/>
              </w:rPr>
              <w:t xml:space="preserve">поштовий переказ; </w:t>
            </w:r>
          </w:p>
          <w:p>
            <w:pPr>
              <w:pStyle w:val="ListParagraph"/>
              <w:numPr>
                <w:ilvl w:val="0"/>
                <w:numId w:val="4"/>
              </w:numPr>
              <w:spacing w:lineRule="auto" w:line="240" w:before="0" w:after="0"/>
              <w:contextualSpacing/>
              <w:jc w:val="both"/>
              <w:rPr>
                <w:rFonts w:ascii="Times New Roman" w:hAnsi="Times New Roman"/>
                <w:sz w:val="24"/>
                <w:szCs w:val="24"/>
                <w:lang w:val="uk-UA"/>
              </w:rPr>
            </w:pPr>
            <w:r>
              <w:rPr>
                <w:rFonts w:ascii="Times New Roman" w:hAnsi="Times New Roman"/>
                <w:sz w:val="24"/>
                <w:szCs w:val="24"/>
                <w:lang w:val="uk-UA"/>
              </w:rPr>
              <w:t>в інший не заборонений чинним законодавством спосіб.</w:t>
            </w:r>
          </w:p>
          <w:p>
            <w:pPr>
              <w:pStyle w:val="Normal"/>
              <w:spacing w:lineRule="auto" w:line="240" w:before="0" w:after="0"/>
              <w:ind w:firstLine="371"/>
              <w:jc w:val="both"/>
              <w:rPr>
                <w:rFonts w:ascii="Times New Roman" w:hAnsi="Times New Roman" w:cs="Mangal"/>
                <w:sz w:val="24"/>
                <w:szCs w:val="24"/>
                <w:lang w:val="uk-UA" w:bidi="hi-IN"/>
              </w:rPr>
            </w:pPr>
            <w:r>
              <w:rPr>
                <w:rFonts w:cs="Mangal" w:ascii="Times New Roman" w:hAnsi="Times New Roman"/>
                <w:sz w:val="24"/>
                <w:szCs w:val="24"/>
                <w:lang w:val="uk-UA" w:bidi="hi-IN"/>
              </w:rPr>
              <w:t>Датою оплати є дата надходження коштів на спецрахунок Постачальника.</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5. Встановлення замовлених обсягів постачання електричної енергії</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firstLine="352"/>
              <w:jc w:val="both"/>
              <w:rPr>
                <w:rFonts w:ascii="Times New Roman" w:hAnsi="Times New Roman" w:cs="Mangal"/>
                <w:sz w:val="24"/>
                <w:szCs w:val="24"/>
                <w:lang w:val="uk-UA" w:bidi="hi-IN"/>
              </w:rPr>
            </w:pPr>
            <w:r>
              <w:rPr>
                <w:rFonts w:cs="Mangal" w:ascii="Times New Roman" w:hAnsi="Times New Roman"/>
                <w:sz w:val="24"/>
                <w:szCs w:val="24"/>
                <w:lang w:val="uk-UA" w:bidi="hi-IN"/>
              </w:rPr>
              <w:t>Споживач, одночасно із заявою-приєднання надає замовлені обсяги споживання електричної енергії з розбивкою по місяцям на календарний рік.</w:t>
            </w:r>
          </w:p>
          <w:p>
            <w:pPr>
              <w:pStyle w:val="Normal"/>
              <w:spacing w:lineRule="auto" w:line="240" w:before="0" w:after="0"/>
              <w:ind w:firstLine="352"/>
              <w:jc w:val="both"/>
              <w:rPr>
                <w:rFonts w:ascii="Times New Roman" w:hAnsi="Times New Roman" w:cs="Mangal"/>
                <w:sz w:val="24"/>
                <w:szCs w:val="24"/>
                <w:lang w:val="uk-UA" w:bidi="hi-IN"/>
              </w:rPr>
            </w:pPr>
            <w:r>
              <w:rPr>
                <w:rFonts w:cs="Mangal" w:ascii="Times New Roman" w:hAnsi="Times New Roman"/>
                <w:sz w:val="24"/>
                <w:szCs w:val="24"/>
                <w:lang w:val="uk-UA" w:bidi="hi-IN"/>
              </w:rPr>
              <w:t>Кожного року, але не пізніше 1 листопада, Споживач надає Постачальнику відомості щодо прогнозованого (очікуваного) обсягу споживання електричної енергії на наступний рік з розбивкою по місяцям, за формою  «Відомості про замовлені обсяги споживання».</w:t>
            </w:r>
          </w:p>
          <w:p>
            <w:pPr>
              <w:pStyle w:val="Normal"/>
              <w:spacing w:lineRule="auto" w:line="240" w:before="0" w:after="0"/>
              <w:ind w:firstLine="352"/>
              <w:jc w:val="both"/>
              <w:rPr>
                <w:rFonts w:ascii="Times New Roman" w:hAnsi="Times New Roman" w:cs="Mangal"/>
                <w:sz w:val="24"/>
                <w:szCs w:val="24"/>
                <w:lang w:val="uk-UA" w:bidi="hi-IN"/>
              </w:rPr>
            </w:pPr>
            <w:r>
              <w:rPr>
                <w:rFonts w:cs="Mangal" w:ascii="Times New Roman" w:hAnsi="Times New Roman"/>
                <w:sz w:val="24"/>
                <w:szCs w:val="24"/>
                <w:lang w:val="uk-UA" w:bidi="hi-IN"/>
              </w:rPr>
              <w:t>В разі ненадання замовлених обсягів споживання електричної енергії, вони встановлюються на розрахунковий період на основі фактичних значень обсягу спожитої електричної енергії за відповідний розрахунковий період попереднього року. Якщо фактичне значення обсягу спожитої електричної енергії за відповідний розрахунковий період попереднього року дорівнює нулю, замовлений обсяг споживання електричної енергії визначається на основі фактичного обсягу спожитої електричної енергії у першому, наступному за відповідним, розрахунковому періоді попереднього року, споживання в якому більше нульового значення.</w:t>
            </w:r>
          </w:p>
          <w:p>
            <w:pPr>
              <w:pStyle w:val="Normal"/>
              <w:spacing w:lineRule="auto" w:line="240" w:before="0" w:after="0"/>
              <w:ind w:firstLine="352"/>
              <w:jc w:val="both"/>
              <w:rPr>
                <w:rFonts w:ascii="Times New Roman" w:hAnsi="Times New Roman" w:cs="Mangal"/>
                <w:sz w:val="24"/>
                <w:szCs w:val="24"/>
                <w:lang w:val="uk-UA" w:bidi="hi-IN"/>
              </w:rPr>
            </w:pPr>
            <w:r>
              <w:rPr>
                <w:rFonts w:cs="Mangal" w:ascii="Times New Roman" w:hAnsi="Times New Roman"/>
                <w:sz w:val="24"/>
                <w:szCs w:val="24"/>
                <w:lang w:val="uk-UA" w:bidi="hi-IN"/>
              </w:rPr>
              <w:t>У випадку необхідності коригування раніше замовленого (прогнозованого) обсягу споживання електричної енергії, Споживач надає Постачальнику повідомлення про скориговані замовлені обсяги споживання електричної енергії на наступний розрахунковий період за 2 робочих дні до 15 числа місяця що передує розрахунковому. Відповідне повідомлення надається Споживачем шляхом направлення електронного листа на адресу електронної пошти: limits@zpep.com.ua, з одночасним направленням заявки у паперовому вигляді засобами поштового зв’язку або нарочно за формою «Зразок звернення Споживача щодо коригування обсягів постачання».</w:t>
            </w:r>
          </w:p>
          <w:p>
            <w:pPr>
              <w:pStyle w:val="Normal"/>
              <w:spacing w:lineRule="auto" w:line="240" w:before="0" w:after="0"/>
              <w:ind w:firstLine="352"/>
              <w:jc w:val="both"/>
              <w:rPr>
                <w:rFonts w:ascii="Times New Roman" w:hAnsi="Times New Roman" w:cs="Mangal"/>
                <w:sz w:val="24"/>
                <w:szCs w:val="24"/>
                <w:lang w:val="uk-UA" w:bidi="hi-IN"/>
              </w:rPr>
            </w:pPr>
            <w:r>
              <w:rPr>
                <w:rFonts w:cs="Mangal" w:ascii="Times New Roman" w:hAnsi="Times New Roman"/>
                <w:sz w:val="24"/>
                <w:szCs w:val="24"/>
                <w:lang w:val="uk-UA" w:bidi="hi-IN"/>
              </w:rPr>
              <w:t>У разі об’єктивної потреби, Споживач має право протягом розрахункового періоду, але не пізніше ніж за 2 робочих дня до 14 числа розрахункового місяця, збільшити обсяги постачання електричної енергії. Підставою для збільшення обсягу постачання електричної енергії у розрахунковому періоді, є наявність письмового звернення Споживача до Постачальника надане у встановлений термін.</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6. Оплата послуг з розподілу електричної енергії</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beforeAutospacing="0" w:before="0" w:afterAutospacing="0" w:after="0"/>
              <w:ind w:firstLine="352"/>
              <w:jc w:val="both"/>
              <w:rPr>
                <w:rFonts w:cs="Mangal"/>
                <w:lang w:val="uk-UA"/>
              </w:rPr>
            </w:pPr>
            <w:r>
              <w:rPr>
                <w:rFonts w:cs="Mangal"/>
                <w:lang w:val="uk-UA"/>
              </w:rPr>
              <w:t xml:space="preserve">Споживач здійснює оплату послуг з розподілу електричної енергії через Постачальника в складі ціни універсальної послуги. </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b/>
                <w:b/>
                <w:sz w:val="24"/>
                <w:szCs w:val="24"/>
              </w:rPr>
            </w:pPr>
            <w:r>
              <w:rPr>
                <w:rFonts w:ascii="Times New Roman" w:hAnsi="Times New Roman"/>
                <w:b/>
                <w:sz w:val="24"/>
                <w:szCs w:val="24"/>
              </w:rPr>
              <w:t>7. Розмір пені за порушення строку оплати та/або штраф</w:t>
            </w:r>
          </w:p>
          <w:p>
            <w:pPr>
              <w:pStyle w:val="NoSpacing"/>
              <w:jc w:val="center"/>
              <w:rPr>
                <w:rFonts w:ascii="Times New Roman" w:hAnsi="Times New Roman"/>
                <w:sz w:val="24"/>
                <w:szCs w:val="24"/>
                <w:lang w:val="ru-RU"/>
              </w:rPr>
            </w:pPr>
            <w:r>
              <w:rPr>
                <w:rFonts w:ascii="Times New Roman" w:hAnsi="Times New Roman"/>
                <w:sz w:val="24"/>
                <w:szCs w:val="24"/>
                <w:lang w:val="ru-RU"/>
              </w:rPr>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firstLine="286"/>
              <w:jc w:val="both"/>
              <w:rPr>
                <w:rFonts w:ascii="Times New Roman" w:hAnsi="Times New Roman" w:cs="Mangal"/>
                <w:sz w:val="24"/>
                <w:szCs w:val="24"/>
                <w:lang w:val="uk-UA" w:bidi="hi-IN"/>
              </w:rPr>
            </w:pPr>
            <w:r>
              <w:rPr>
                <w:rFonts w:cs="Mangal" w:ascii="Times New Roman" w:hAnsi="Times New Roman"/>
                <w:sz w:val="24"/>
                <w:szCs w:val="24"/>
                <w:lang w:val="uk-UA" w:bidi="hi-IN"/>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та  3% річних від суми боргу.</w:t>
            </w:r>
          </w:p>
          <w:p>
            <w:pPr>
              <w:pStyle w:val="Normal"/>
              <w:spacing w:lineRule="auto" w:line="240" w:before="0" w:after="0"/>
              <w:ind w:firstLine="371"/>
              <w:jc w:val="both"/>
              <w:rPr>
                <w:rFonts w:ascii="Times New Roman" w:hAnsi="Times New Roman" w:cs="Mangal"/>
                <w:sz w:val="24"/>
                <w:szCs w:val="24"/>
                <w:lang w:val="uk-UA" w:bidi="hi-IN"/>
              </w:rPr>
            </w:pPr>
            <w:r>
              <w:rPr>
                <w:rFonts w:cs="Mangal" w:ascii="Times New Roman" w:hAnsi="Times New Roman"/>
                <w:sz w:val="24"/>
                <w:szCs w:val="24"/>
                <w:lang w:val="uk-UA" w:bidi="hi-IN"/>
              </w:rPr>
              <w:t>Суми пені, 3% річних, інфляційних зазначаються у розрахунковому документі окремим рядком, та повинні бути сплачені протягом 5 робочих днів від дня його отримання Споживачем.</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8. Штраф за дострокове припинення дії договору</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beforeAutospacing="0" w:before="0" w:afterAutospacing="0" w:after="0"/>
              <w:ind w:firstLine="352"/>
              <w:jc w:val="both"/>
              <w:rPr>
                <w:rFonts w:cs="Mangal"/>
                <w:lang w:val="uk-UA"/>
              </w:rPr>
            </w:pPr>
            <w:r>
              <w:rPr>
                <w:rFonts w:cs="Mangal"/>
                <w:lang w:val="uk-UA"/>
              </w:rPr>
              <w:t>Не застосовується.</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 xml:space="preserve">9. Можливість надання пільг, субсидій </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beforeAutospacing="0" w:before="0" w:afterAutospacing="0" w:after="0"/>
              <w:ind w:firstLine="352"/>
              <w:jc w:val="both"/>
              <w:rPr>
                <w:rFonts w:cs="Mangal"/>
                <w:lang w:val="uk-UA"/>
              </w:rPr>
            </w:pPr>
            <w:r>
              <w:rPr>
                <w:rFonts w:cs="Mangal"/>
                <w:lang w:val="uk-UA"/>
              </w:rPr>
              <w:t>Пільги, субсидії надаються у порядку та розмірі, визначеному чинним законодавством України</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10. Розмір компенсації Споживачу за недодержання Постачальником комерційної якості послуг</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beforeAutospacing="0" w:before="0" w:afterAutospacing="0" w:after="0"/>
              <w:ind w:firstLine="352"/>
              <w:jc w:val="both"/>
              <w:rPr>
                <w:rFonts w:cs="Mangal"/>
                <w:lang w:val="uk-UA"/>
              </w:rPr>
            </w:pPr>
            <w:r>
              <w:rPr>
                <w:rFonts w:cs="Mangal"/>
                <w:lang w:val="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11. Термін дії договору</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Style20"/>
              <w:shd w:val="clear" w:color="auto" w:fill="auto"/>
              <w:tabs>
                <w:tab w:val="clear" w:pos="708"/>
                <w:tab w:val="left" w:pos="1331" w:leader="none"/>
              </w:tabs>
              <w:spacing w:lineRule="auto" w:line="240" w:before="0" w:after="200"/>
              <w:ind w:left="40" w:right="23" w:hanging="0"/>
              <w:rPr/>
            </w:pPr>
            <w:r>
              <w:rPr>
                <w:rFonts w:ascii="Times New Roman" w:hAnsi="Times New Roman"/>
                <w:lang w:val="uk-UA" w:eastAsia="en-US"/>
              </w:rPr>
              <w:t xml:space="preserve">           </w:t>
            </w:r>
            <w:r>
              <w:rPr>
                <w:rFonts w:ascii="Times New Roman" w:hAnsi="Times New Roman"/>
                <w:sz w:val="24"/>
                <w:szCs w:val="24"/>
                <w:lang w:val="uk-UA" w:eastAsia="en-US"/>
              </w:rPr>
              <w:t>Договір набуває юридичної сили з моменту його підписання Сторонами, діє до 31.12.2020.</w:t>
            </w:r>
            <w:r>
              <w:rPr>
                <w:rFonts w:ascii="Times New Roman" w:hAnsi="Times New Roman"/>
                <w:sz w:val="24"/>
                <w:szCs w:val="24"/>
                <w:lang w:val="uk-UA" w:eastAsia="uk-UA"/>
              </w:rPr>
              <w:t xml:space="preserve"> 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01.0</w:t>
            </w:r>
            <w:r>
              <w:rPr>
                <w:rFonts w:ascii="Times New Roman" w:hAnsi="Times New Roman"/>
                <w:sz w:val="24"/>
                <w:szCs w:val="24"/>
                <w:lang w:val="uk-UA" w:eastAsia="uk-UA"/>
              </w:rPr>
              <w:t>1</w:t>
            </w:r>
            <w:r>
              <w:rPr>
                <w:rFonts w:ascii="Times New Roman" w:hAnsi="Times New Roman"/>
                <w:sz w:val="24"/>
                <w:szCs w:val="24"/>
                <w:lang w:val="uk-UA" w:eastAsia="uk-UA"/>
              </w:rPr>
              <w:t>.2020 року.</w:t>
            </w:r>
          </w:p>
          <w:p>
            <w:pPr>
              <w:pStyle w:val="Style20"/>
              <w:shd w:val="clear" w:color="auto" w:fill="auto"/>
              <w:spacing w:lineRule="auto" w:line="240" w:before="0" w:after="200"/>
              <w:ind w:firstLine="724"/>
              <w:rPr>
                <w:rFonts w:ascii="Times New Roman" w:hAnsi="Times New Roman"/>
                <w:lang w:val="uk-UA" w:eastAsia="uk-UA"/>
              </w:rPr>
            </w:pPr>
            <w:r>
              <w:rPr>
                <w:rFonts w:ascii="Times New Roman" w:hAnsi="Times New Roman"/>
                <w:sz w:val="24"/>
                <w:szCs w:val="24"/>
                <w:lang w:val="uk-UA" w:eastAsia="uk-UA"/>
              </w:rPr>
              <w:t>Згідно ст. 41 Закону України «Про публічні закупівлі» дія Договору може продовжуватися на строк, достатній для проведення процедури закупівлі на початку наступного року, в обсязі, що не перевищує 20 відсотків суми, визначеної в договорі, укладеному в попередньому році, якщо видатки на цю мету затверджено в установленому порядку.</w:t>
            </w:r>
          </w:p>
          <w:p>
            <w:pPr>
              <w:pStyle w:val="NoSpacing"/>
              <w:spacing w:lineRule="auto" w:line="240"/>
              <w:ind w:firstLine="352"/>
              <w:jc w:val="both"/>
              <w:rPr/>
            </w:pPr>
            <w:r>
              <w:rPr>
                <w:rFonts w:ascii="Times New Roman" w:hAnsi="Times New Roman"/>
                <w:sz w:val="24"/>
                <w:szCs w:val="24"/>
              </w:rPr>
              <w:t xml:space="preserve">Договір може бути розірвано за ініціативою будь-якої зі Сторін у порядку, визначеному законодавством України.  </w:t>
            </w:r>
          </w:p>
          <w:p>
            <w:pPr>
              <w:pStyle w:val="NoSpacing"/>
              <w:spacing w:lineRule="auto" w:line="240"/>
              <w:ind w:firstLine="352"/>
              <w:jc w:val="both"/>
              <w:rPr>
                <w:rFonts w:ascii="Times New Roman" w:hAnsi="Times New Roman"/>
                <w:sz w:val="24"/>
                <w:szCs w:val="24"/>
              </w:rPr>
            </w:pPr>
            <w:r>
              <w:rPr>
                <w:rFonts w:ascii="Times New Roman" w:hAnsi="Times New Roman"/>
                <w:sz w:val="24"/>
                <w:szCs w:val="24"/>
              </w:rPr>
              <w:t xml:space="preserve">Інформація про умови продовження або зміни даної комерційної пропозиції оприлюднюється на офіційному веб-сайті Постачальника не пізніше ніж за 20 календарних днів до збігу строку її дії або строку введення відповідних змін. </w:t>
            </w:r>
          </w:p>
          <w:p>
            <w:pPr>
              <w:pStyle w:val="NoSpacing"/>
              <w:spacing w:lineRule="auto" w:line="240"/>
              <w:ind w:firstLine="352"/>
              <w:jc w:val="both"/>
              <w:rPr>
                <w:rFonts w:ascii="Times New Roman" w:hAnsi="Times New Roman"/>
                <w:sz w:val="24"/>
                <w:szCs w:val="24"/>
              </w:rPr>
            </w:pPr>
            <w:r>
              <w:rPr>
                <w:rFonts w:ascii="Times New Roman" w:hAnsi="Times New Roman"/>
                <w:sz w:val="24"/>
                <w:szCs w:val="24"/>
              </w:rPr>
              <w:t xml:space="preserve">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договір вважається укладеним з моменту подання заяви-приєднання, а постачання здійснюється після відновлення, у встановленому законодавством порядку, надання відповідних послуг. </w:t>
            </w:r>
          </w:p>
          <w:p>
            <w:pPr>
              <w:pStyle w:val="NoSpacing"/>
              <w:spacing w:lineRule="auto" w:line="240"/>
              <w:ind w:firstLine="352"/>
              <w:jc w:val="both"/>
              <w:rPr>
                <w:rFonts w:ascii="Times New Roman" w:hAnsi="Times New Roman"/>
                <w:sz w:val="24"/>
                <w:szCs w:val="24"/>
              </w:rPr>
            </w:pPr>
            <w:r>
              <w:rPr>
                <w:rFonts w:ascii="Times New Roman" w:hAnsi="Times New Roman"/>
                <w:sz w:val="24"/>
                <w:szCs w:val="24"/>
              </w:rPr>
              <w:t xml:space="preserve">Договір, в частині постачання електричної енергії, діє виключно у межах строку дії договору споживача про надання послуг з розподілу, враховуючи розповсюдження його дії на окремі точки розподілу (за наявності декількох точок розподілу). </w:t>
            </w:r>
          </w:p>
          <w:p>
            <w:pPr>
              <w:pStyle w:val="NoSpacing"/>
              <w:spacing w:lineRule="auto" w:line="240"/>
              <w:ind w:firstLine="352"/>
              <w:jc w:val="both"/>
              <w:rPr>
                <w:rFonts w:ascii="Times New Roman" w:hAnsi="Times New Roman"/>
                <w:sz w:val="24"/>
                <w:szCs w:val="24"/>
              </w:rPr>
            </w:pPr>
            <w:r>
              <w:rPr>
                <w:rFonts w:ascii="Times New Roman" w:hAnsi="Times New Roman"/>
                <w:sz w:val="24"/>
                <w:szCs w:val="24"/>
              </w:rPr>
              <w:t xml:space="preserve">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За спірні періоди Постачальник має право здійснити перерахунок за цінами іншої комерційної пропозиції, обраної Споживачем чи визначеної Постачальником самостійно після збігу встановленого для подання заяви-приєднання строку. </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12. Можливість постачання захищеним споживачам</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Spacing"/>
              <w:ind w:firstLine="352"/>
              <w:jc w:val="both"/>
              <w:rPr>
                <w:rFonts w:ascii="Times New Roman" w:hAnsi="Times New Roman"/>
                <w:sz w:val="24"/>
                <w:szCs w:val="24"/>
                <w:lang w:val="ru-RU"/>
              </w:rPr>
            </w:pPr>
            <w:r>
              <w:rPr>
                <w:rFonts w:ascii="Times New Roman" w:hAnsi="Times New Roman"/>
                <w:sz w:val="24"/>
                <w:szCs w:val="24"/>
              </w:rPr>
              <w:t>Постачання електричної енергії захищеним споживачам не здійснюється.</w:t>
            </w:r>
          </w:p>
        </w:tc>
      </w:tr>
      <w:tr>
        <w:trPr/>
        <w:tc>
          <w:tcPr>
            <w:tcW w:w="2374" w:type="dxa"/>
            <w:tcBorders>
              <w:top w:val="single" w:sz="4" w:space="0" w:color="000000"/>
              <w:left w:val="single" w:sz="4" w:space="0" w:color="000000"/>
              <w:bottom w:val="single" w:sz="4" w:space="0" w:color="000000"/>
              <w:right w:val="single" w:sz="4" w:space="0" w:color="000000"/>
            </w:tcBorders>
            <w:shd w:fill="auto" w:val="clear"/>
          </w:tcPr>
          <w:p>
            <w:pPr>
              <w:pStyle w:val="NoSpacing"/>
              <w:jc w:val="center"/>
              <w:rPr>
                <w:rFonts w:ascii="Times New Roman" w:hAnsi="Times New Roman"/>
                <w:sz w:val="24"/>
                <w:szCs w:val="24"/>
                <w:lang w:val="ru-RU"/>
              </w:rPr>
            </w:pPr>
            <w:r>
              <w:rPr>
                <w:rFonts w:ascii="Times New Roman" w:hAnsi="Times New Roman"/>
                <w:b/>
                <w:sz w:val="24"/>
                <w:szCs w:val="24"/>
              </w:rPr>
              <w:t>13. Інші умови</w:t>
            </w:r>
          </w:p>
        </w:tc>
        <w:tc>
          <w:tcPr>
            <w:tcW w:w="7004"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Autospacing="0" w:before="0" w:afterAutospacing="0" w:after="120"/>
              <w:jc w:val="both"/>
              <w:rPr>
                <w:lang w:val="uk-UA"/>
              </w:rPr>
            </w:pPr>
            <w:r>
              <w:rPr>
                <w:lang w:val="uk-UA"/>
              </w:rPr>
              <w:t>Постачальник послуг комерційного обліку електричної енергії, оператор електричної мережі та адміністратор комерційного обліку мають право доступу до вузла обліку електричної енергії споживача для виконання ними своїх обов'язків відповідно до Кодексу комерційного обліку електричної енергії.</w:t>
            </w:r>
          </w:p>
          <w:p>
            <w:pPr>
              <w:pStyle w:val="Normal"/>
              <w:spacing w:lineRule="auto" w:line="240" w:before="0" w:after="120"/>
              <w:ind w:firstLine="287"/>
              <w:contextualSpacing/>
              <w:jc w:val="both"/>
              <w:rPr>
                <w:rFonts w:ascii="Times New Roman" w:hAnsi="Times New Roman" w:eastAsia="Times New Roman"/>
                <w:color w:val="000000"/>
                <w:sz w:val="24"/>
                <w:szCs w:val="24"/>
                <w:lang w:val="uk-UA"/>
              </w:rPr>
            </w:pPr>
            <w:r>
              <w:rPr>
                <w:rFonts w:eastAsia="Times New Roman" w:ascii="Times New Roman" w:hAnsi="Times New Roman"/>
                <w:color w:val="000000"/>
                <w:sz w:val="24"/>
                <w:szCs w:val="24"/>
                <w:lang w:val="uk-UA"/>
              </w:rPr>
              <w:t>Згідно п.7.12 ПРРЕЕ витрати оператора системи на здійснення робіт з припинення та відновлення електроживлення електроустановки споживача (повторне підключення електроустановки) покриваються за рахунок коштів ініціатора здійснення цих робіт, які відшкодовуються йому споживачем, якщо припинення постачання (розподілу або передачі) електричної енергії споживачу здійснювалося у встановленому ПРРЕЕ порядку.</w:t>
            </w:r>
          </w:p>
          <w:p>
            <w:pPr>
              <w:pStyle w:val="NormalWeb"/>
              <w:spacing w:lineRule="auto" w:line="240" w:beforeAutospacing="0" w:before="0" w:afterAutospacing="0" w:after="0"/>
              <w:ind w:firstLine="352"/>
              <w:jc w:val="both"/>
              <w:rPr>
                <w:rFonts w:cs="Mangal"/>
                <w:lang w:val="uk-UA"/>
              </w:rPr>
            </w:pPr>
            <w:r>
              <w:rPr>
                <w:rFonts w:cs="Mangal"/>
                <w:lang w:val="uk-UA"/>
              </w:rPr>
              <w:t xml:space="preserve">Постачальник інформує споживача, з яким укладено Договір, про будь-яку зміну в умовах Договору шляхом направлення відповідної інформації: </w:t>
            </w:r>
          </w:p>
          <w:p>
            <w:pPr>
              <w:pStyle w:val="NormalWeb"/>
              <w:numPr>
                <w:ilvl w:val="0"/>
                <w:numId w:val="3"/>
              </w:numPr>
              <w:spacing w:lineRule="auto" w:line="240" w:beforeAutospacing="0" w:before="0" w:afterAutospacing="0" w:after="0"/>
              <w:jc w:val="both"/>
              <w:rPr>
                <w:rFonts w:cs="Mangal"/>
              </w:rPr>
            </w:pPr>
            <w:r>
              <w:rPr>
                <w:rFonts w:cs="Mangal"/>
                <w:lang w:val="uk-UA"/>
              </w:rPr>
              <w:t>через особовий кабінет на своєму офіційному сайті у мережі Інтернет,</w:t>
            </w:r>
          </w:p>
          <w:p>
            <w:pPr>
              <w:pStyle w:val="NormalWeb"/>
              <w:numPr>
                <w:ilvl w:val="0"/>
                <w:numId w:val="3"/>
              </w:numPr>
              <w:spacing w:lineRule="auto" w:line="240" w:beforeAutospacing="0" w:before="0" w:afterAutospacing="0" w:after="0"/>
              <w:jc w:val="both"/>
              <w:rPr>
                <w:rFonts w:cs="Mangal"/>
              </w:rPr>
            </w:pPr>
            <w:r>
              <w:rPr>
                <w:rFonts w:cs="Mangal"/>
                <w:lang w:val="uk-UA"/>
              </w:rPr>
              <w:t xml:space="preserve">засобами електронного зв'язку на електронну адресу вказану у заяві-приєднання до умов договору, </w:t>
            </w:r>
          </w:p>
          <w:p>
            <w:pPr>
              <w:pStyle w:val="NormalWeb"/>
              <w:numPr>
                <w:ilvl w:val="0"/>
                <w:numId w:val="3"/>
              </w:numPr>
              <w:spacing w:lineRule="auto" w:line="240" w:beforeAutospacing="0" w:before="0" w:afterAutospacing="0" w:after="0"/>
              <w:jc w:val="both"/>
              <w:rPr>
                <w:rFonts w:cs="Mangal"/>
              </w:rPr>
            </w:pPr>
            <w:r>
              <w:rPr>
                <w:rFonts w:cs="Mangal"/>
                <w:lang w:val="uk-UA"/>
              </w:rPr>
              <w:t xml:space="preserve">СМС-повідомленням на номер, зазначений у заяві-приєднання до умов договору, </w:t>
            </w:r>
          </w:p>
          <w:p>
            <w:pPr>
              <w:pStyle w:val="NormalWeb"/>
              <w:numPr>
                <w:ilvl w:val="0"/>
                <w:numId w:val="3"/>
              </w:numPr>
              <w:spacing w:lineRule="auto" w:line="240" w:beforeAutospacing="0" w:before="0" w:afterAutospacing="0" w:after="0"/>
              <w:jc w:val="both"/>
              <w:rPr>
                <w:rFonts w:cs="Mangal"/>
              </w:rPr>
            </w:pPr>
            <w:r>
              <w:rPr>
                <w:rFonts w:cs="Mangal"/>
                <w:lang w:val="uk-UA"/>
              </w:rPr>
              <w:t>в центрах обслуговування споживачів тощо.</w:t>
            </w:r>
          </w:p>
          <w:p>
            <w:pPr>
              <w:pStyle w:val="NormalWeb"/>
              <w:spacing w:lineRule="auto" w:line="240" w:beforeAutospacing="0" w:before="0" w:afterAutospacing="0" w:after="0"/>
              <w:ind w:firstLine="493"/>
              <w:jc w:val="both"/>
              <w:rPr>
                <w:rFonts w:cs="Mangal"/>
                <w:lang w:val="uk-UA"/>
              </w:rPr>
            </w:pPr>
            <w:r>
              <w:rPr>
                <w:rFonts w:cs="Mangal"/>
                <w:lang w:val="uk-UA"/>
              </w:rPr>
              <w:t xml:space="preserve">Постачальник може інформувати, повідомляти споживача, з яким укладено Договір, про закінчення терміну дії Договору,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шляхом направлення відповідної інформації: </w:t>
            </w:r>
          </w:p>
          <w:p>
            <w:pPr>
              <w:pStyle w:val="NormalWeb"/>
              <w:numPr>
                <w:ilvl w:val="0"/>
                <w:numId w:val="3"/>
              </w:numPr>
              <w:spacing w:lineRule="auto" w:line="240" w:beforeAutospacing="0" w:before="0" w:afterAutospacing="0" w:after="0"/>
              <w:jc w:val="both"/>
              <w:rPr>
                <w:rFonts w:cs="Mangal"/>
              </w:rPr>
            </w:pPr>
            <w:r>
              <w:rPr>
                <w:rFonts w:cs="Mangal"/>
                <w:lang w:val="uk-UA"/>
              </w:rPr>
              <w:t>через особовий кабінет на своєму офіційному сайті у мережі Інтернет,</w:t>
            </w:r>
          </w:p>
          <w:p>
            <w:pPr>
              <w:pStyle w:val="NormalWeb"/>
              <w:numPr>
                <w:ilvl w:val="0"/>
                <w:numId w:val="3"/>
              </w:numPr>
              <w:spacing w:lineRule="auto" w:line="240" w:beforeAutospacing="0" w:before="0" w:afterAutospacing="0" w:after="0"/>
              <w:jc w:val="both"/>
              <w:rPr>
                <w:rFonts w:cs="Mangal"/>
              </w:rPr>
            </w:pPr>
            <w:r>
              <w:rPr>
                <w:rFonts w:cs="Mangal"/>
                <w:lang w:val="uk-UA"/>
              </w:rPr>
              <w:t xml:space="preserve">засобами електронного зв'язку на електронну адресу вказану у заяві-приєднання до умов договору, </w:t>
            </w:r>
          </w:p>
          <w:p>
            <w:pPr>
              <w:pStyle w:val="NormalWeb"/>
              <w:numPr>
                <w:ilvl w:val="0"/>
                <w:numId w:val="3"/>
              </w:numPr>
              <w:spacing w:lineRule="auto" w:line="240" w:beforeAutospacing="0" w:before="0" w:afterAutospacing="0" w:after="0"/>
              <w:jc w:val="both"/>
              <w:rPr>
                <w:rFonts w:cs="Mangal"/>
              </w:rPr>
            </w:pPr>
            <w:r>
              <w:rPr>
                <w:rFonts w:cs="Mangal"/>
                <w:lang w:val="uk-UA"/>
              </w:rPr>
              <w:t xml:space="preserve">СМС-повідомленням на номер, зазначений у заяві-приєднання до умов договору, </w:t>
            </w:r>
          </w:p>
          <w:p>
            <w:pPr>
              <w:pStyle w:val="NormalWeb"/>
              <w:numPr>
                <w:ilvl w:val="0"/>
                <w:numId w:val="3"/>
              </w:numPr>
              <w:spacing w:lineRule="auto" w:line="240" w:beforeAutospacing="0" w:before="0" w:afterAutospacing="0" w:after="0"/>
              <w:jc w:val="both"/>
              <w:rPr>
                <w:rFonts w:cs="Mangal"/>
              </w:rPr>
            </w:pPr>
            <w:r>
              <w:rPr>
                <w:rFonts w:cs="Mangal"/>
                <w:lang w:val="uk-UA"/>
              </w:rPr>
              <w:t>в центрах обслуговування споживачів тощо.</w:t>
            </w:r>
          </w:p>
          <w:p>
            <w:pPr>
              <w:pStyle w:val="NormalWeb"/>
              <w:tabs>
                <w:tab w:val="clear" w:pos="708"/>
                <w:tab w:val="left" w:pos="851" w:leader="none"/>
              </w:tabs>
              <w:spacing w:lineRule="auto" w:line="240" w:beforeAutospacing="0" w:before="0" w:afterAutospacing="0" w:after="0"/>
              <w:ind w:firstLine="567"/>
              <w:jc w:val="both"/>
              <w:rPr>
                <w:lang w:val="uk-UA"/>
              </w:rPr>
            </w:pPr>
            <w:r>
              <w:rPr>
                <w:lang w:val="uk-UA"/>
              </w:rPr>
              <w:t xml:space="preserve">При наявності розбіжностей в частині визначення обсягу спожитої електричної енергії вони підлягають врегулюванню відповідно до Кодексу комерційного обліку або в судовому порядку. До вирішення цього питання величина обсягу спожитої електричної енергії встановлюється відповідно до даних Оператора системи розподілу (передачі). </w:t>
            </w:r>
          </w:p>
          <w:p>
            <w:pPr>
              <w:pStyle w:val="NormalWeb"/>
              <w:tabs>
                <w:tab w:val="clear" w:pos="708"/>
                <w:tab w:val="left" w:pos="851" w:leader="none"/>
              </w:tabs>
              <w:spacing w:lineRule="auto" w:line="240" w:beforeAutospacing="0" w:before="0" w:afterAutospacing="0" w:after="0"/>
              <w:ind w:firstLine="567"/>
              <w:jc w:val="both"/>
              <w:rPr>
                <w:lang w:val="uk-UA"/>
              </w:rPr>
            </w:pPr>
            <w:r>
              <w:rPr>
                <w:lang w:val="uk-UA"/>
              </w:rPr>
              <w:t>По всім питанням не врегульованим Договором або цією комерційною пропозицією, Сторони керуються чинним законодавством України, зокрема, Законом України «Про ринок електричної енергії» та Правилами роздрібного ринку електричної енергії.</w:t>
            </w:r>
          </w:p>
          <w:p>
            <w:pPr>
              <w:pStyle w:val="NormalWeb"/>
              <w:tabs>
                <w:tab w:val="clear" w:pos="708"/>
                <w:tab w:val="left" w:pos="851" w:leader="none"/>
              </w:tabs>
              <w:spacing w:lineRule="auto" w:line="240" w:beforeAutospacing="0" w:before="0" w:afterAutospacing="0" w:after="0"/>
              <w:ind w:firstLine="280"/>
              <w:jc w:val="both"/>
              <w:rPr>
                <w:lang w:val="uk-UA"/>
              </w:rPr>
            </w:pPr>
            <w:r>
              <w:rPr>
                <w:lang w:val="uk-UA"/>
              </w:rPr>
              <w:t>Споживач зобов'язується у місячний строк повідомити Постачальника про зміну будь-якої інформації та даних, зазначених в заяві-приєднанні, яка є додатком 1 до цього Договору.</w:t>
            </w:r>
          </w:p>
          <w:p>
            <w:pPr>
              <w:pStyle w:val="NormalWeb"/>
              <w:tabs>
                <w:tab w:val="clear" w:pos="708"/>
                <w:tab w:val="left" w:pos="851" w:leader="none"/>
              </w:tabs>
              <w:spacing w:lineRule="auto" w:line="240" w:beforeAutospacing="0" w:before="0" w:afterAutospacing="0" w:after="0"/>
              <w:ind w:firstLine="280"/>
              <w:jc w:val="both"/>
              <w:rPr>
                <w:lang w:val="uk-UA"/>
              </w:rPr>
            </w:pPr>
            <w:r>
              <w:rPr>
                <w:lang w:val="uk-UA"/>
              </w:rPr>
              <w:t>Для виконання ст. 201.10 НКУ, під час подання заяві-приєднання Споживач повинен наявний в нього статус платника ПДВ. Про зміну статусу платника ПДВ Споживач зобов'язується повідомити Постачальника протягом трьох календарних днів, що настають за днем, коли змінилися дані платника податку.</w:t>
            </w:r>
          </w:p>
          <w:p>
            <w:pPr>
              <w:pStyle w:val="NormalWeb"/>
              <w:spacing w:lineRule="auto" w:line="240" w:beforeAutospacing="0" w:before="0" w:afterAutospacing="0" w:after="0"/>
              <w:ind w:firstLine="280"/>
              <w:jc w:val="both"/>
              <w:rPr>
                <w:rFonts w:cs="Mangal"/>
                <w:lang w:val="uk-UA"/>
              </w:rPr>
            </w:pPr>
            <w:r>
              <w:rPr>
                <w:lang w:val="uk-UA"/>
              </w:rPr>
              <w:t>В разі неповідомлення або несвоєчасного повідомлення Постачальника Споживачем про наявний статус платника ПДВ або про зміну цього статусу, споживач зобов’язується компенсувати Постачальнику збитки, заподіяні таким неповідомленням або несвоєчасним повідомленням.</w:t>
            </w:r>
          </w:p>
        </w:tc>
      </w:tr>
    </w:tbl>
    <w:p>
      <w:pPr>
        <w:pStyle w:val="Normal"/>
        <w:spacing w:lineRule="auto" w:line="240" w:before="0" w:after="0"/>
        <w:rPr>
          <w:rFonts w:ascii="Times New Roman" w:hAnsi="Times New Roman" w:cs="Mangal"/>
          <w:sz w:val="24"/>
          <w:szCs w:val="24"/>
          <w:lang w:val="uk-UA" w:bidi="hi-IN"/>
        </w:rPr>
      </w:pPr>
      <w:r>
        <w:rPr>
          <w:rFonts w:cs="Mangal" w:ascii="Times New Roman" w:hAnsi="Times New Roman"/>
          <w:sz w:val="24"/>
          <w:szCs w:val="24"/>
          <w:lang w:val="uk-UA" w:bidi="hi-IN"/>
        </w:rPr>
      </w:r>
    </w:p>
    <w:tbl>
      <w:tblPr>
        <w:tblpPr w:bottomFromText="0" w:horzAnchor="margin" w:leftFromText="180" w:rightFromText="180" w:tblpX="0" w:tblpY="143" w:topFromText="0" w:vertAnchor="text"/>
        <w:tblW w:w="9539" w:type="dxa"/>
        <w:jc w:val="left"/>
        <w:tblInd w:w="5" w:type="dxa"/>
        <w:tblCellMar>
          <w:top w:w="0" w:type="dxa"/>
          <w:left w:w="5" w:type="dxa"/>
          <w:bottom w:w="0" w:type="dxa"/>
          <w:right w:w="5" w:type="dxa"/>
        </w:tblCellMar>
        <w:tblLook w:val="0000" w:noVBand="0" w:noHBand="0" w:lastColumn="0" w:firstColumn="0" w:lastRow="0" w:firstRow="0"/>
      </w:tblPr>
      <w:tblGrid>
        <w:gridCol w:w="4903"/>
        <w:gridCol w:w="4635"/>
      </w:tblGrid>
      <w:tr>
        <w:trPr>
          <w:trHeight w:val="2698" w:hRule="atLeast"/>
        </w:trPr>
        <w:tc>
          <w:tcPr>
            <w:tcW w:w="4903" w:type="dxa"/>
            <w:tcBorders>
              <w:top w:val="single" w:sz="4" w:space="0" w:color="000000"/>
              <w:left w:val="single" w:sz="4" w:space="0" w:color="000000"/>
              <w:bottom w:val="single" w:sz="4" w:space="0" w:color="000000"/>
              <w:right w:val="single" w:sz="4" w:space="0" w:color="000000"/>
            </w:tcBorders>
            <w:shd w:color="auto" w:fill="FFFFFF" w:val="clear"/>
          </w:tcPr>
          <w:p>
            <w:pPr>
              <w:pStyle w:val="Style20"/>
              <w:shd w:val="clear" w:color="auto" w:fill="auto"/>
              <w:spacing w:lineRule="auto" w:line="240" w:before="0" w:after="0"/>
              <w:ind w:left="60" w:hanging="0"/>
              <w:jc w:val="left"/>
              <w:rPr/>
            </w:pPr>
            <w:r>
              <w:rPr>
                <w:rFonts w:ascii="Times New Roman" w:hAnsi="Times New Roman"/>
                <w:b/>
                <w:bCs/>
                <w:sz w:val="24"/>
                <w:szCs w:val="24"/>
                <w:lang w:val="ru-RU" w:eastAsia="uk-UA"/>
              </w:rPr>
              <w:t>ТОВ «Запоріжжяелектропостачання»</w:t>
            </w:r>
          </w:p>
          <w:p>
            <w:pPr>
              <w:pStyle w:val="Style20"/>
              <w:shd w:val="clear" w:color="auto" w:fill="auto"/>
              <w:spacing w:lineRule="auto" w:line="240" w:before="0" w:after="0"/>
              <w:ind w:left="60" w:hanging="0"/>
              <w:jc w:val="left"/>
              <w:rPr>
                <w:rFonts w:ascii="Times New Roman" w:hAnsi="Times New Roman"/>
                <w:sz w:val="24"/>
                <w:szCs w:val="24"/>
                <w:lang w:val="ru-RU" w:eastAsia="en-US"/>
              </w:rPr>
            </w:pPr>
            <w:r>
              <w:rPr>
                <w:rFonts w:ascii="Times New Roman" w:hAnsi="Times New Roman"/>
                <w:sz w:val="24"/>
                <w:szCs w:val="24"/>
                <w:lang w:val="ru-RU" w:eastAsia="en-US"/>
              </w:rPr>
            </w:r>
          </w:p>
          <w:p>
            <w:pPr>
              <w:pStyle w:val="Style20"/>
              <w:shd w:val="clear" w:color="auto" w:fill="auto"/>
              <w:spacing w:lineRule="auto" w:line="240" w:before="0" w:after="0"/>
              <w:ind w:left="60" w:hanging="0"/>
              <w:jc w:val="left"/>
              <w:rPr>
                <w:rFonts w:ascii="Times New Roman" w:hAnsi="Times New Roman"/>
                <w:sz w:val="24"/>
                <w:szCs w:val="24"/>
                <w:lang w:val="ru-RU" w:eastAsia="en-US"/>
              </w:rPr>
            </w:pPr>
            <w:r>
              <w:rPr>
                <w:rFonts w:ascii="Times New Roman" w:hAnsi="Times New Roman"/>
                <w:sz w:val="24"/>
                <w:szCs w:val="24"/>
                <w:lang w:val="ru-RU" w:eastAsia="en-US"/>
              </w:rPr>
            </w:r>
          </w:p>
          <w:p>
            <w:pPr>
              <w:pStyle w:val="Style20"/>
              <w:shd w:val="clear" w:color="auto" w:fill="auto"/>
              <w:spacing w:lineRule="auto" w:line="240" w:before="0" w:after="0"/>
              <w:ind w:left="60" w:hanging="0"/>
              <w:jc w:val="left"/>
              <w:rPr>
                <w:rFonts w:ascii="Times New Roman" w:hAnsi="Times New Roman"/>
                <w:sz w:val="24"/>
                <w:szCs w:val="24"/>
                <w:lang w:val="ru-RU" w:eastAsia="uk-UA"/>
              </w:rPr>
            </w:pPr>
            <w:r>
              <w:rPr>
                <w:rFonts w:ascii="Times New Roman" w:hAnsi="Times New Roman"/>
                <w:sz w:val="24"/>
                <w:szCs w:val="24"/>
                <w:lang w:val="ru-RU" w:eastAsia="uk-UA"/>
              </w:rPr>
            </w:r>
          </w:p>
          <w:p>
            <w:pPr>
              <w:pStyle w:val="Style20"/>
              <w:shd w:val="clear" w:color="auto" w:fill="auto"/>
              <w:spacing w:lineRule="auto" w:line="240" w:before="0" w:after="0"/>
              <w:ind w:left="60" w:hanging="0"/>
              <w:jc w:val="left"/>
              <w:rPr/>
            </w:pPr>
            <w:r>
              <w:rPr>
                <w:rFonts w:ascii="Times New Roman" w:hAnsi="Times New Roman"/>
                <w:sz w:val="24"/>
                <w:szCs w:val="24"/>
                <w:lang w:eastAsia="en-US"/>
              </w:rPr>
              <w:t>______________________________________</w:t>
            </w:r>
          </w:p>
          <w:p>
            <w:pPr>
              <w:pStyle w:val="Style20"/>
              <w:shd w:val="clear" w:color="auto" w:fill="auto"/>
              <w:spacing w:lineRule="auto" w:line="240" w:before="0" w:after="0"/>
              <w:ind w:left="60" w:hanging="0"/>
              <w:jc w:val="left"/>
              <w:rPr/>
            </w:pPr>
            <w:r>
              <w:rPr>
                <w:rFonts w:ascii="Times New Roman" w:hAnsi="Times New Roman"/>
                <w:sz w:val="24"/>
                <w:szCs w:val="24"/>
                <w:lang w:eastAsia="en-US"/>
              </w:rPr>
              <w:t>______________________________________</w:t>
            </w:r>
          </w:p>
          <w:p>
            <w:pPr>
              <w:pStyle w:val="Style20"/>
              <w:shd w:val="clear" w:color="auto" w:fill="auto"/>
              <w:spacing w:lineRule="auto" w:line="240" w:before="0" w:after="0"/>
              <w:ind w:left="60" w:hanging="0"/>
              <w:jc w:val="left"/>
              <w:rPr>
                <w:rFonts w:ascii="Times New Roman" w:hAnsi="Times New Roman"/>
                <w:b/>
                <w:b/>
                <w:sz w:val="24"/>
                <w:szCs w:val="24"/>
                <w:lang w:val="ru-RU" w:eastAsia="en-US"/>
              </w:rPr>
            </w:pPr>
            <w:r>
              <w:rPr>
                <w:rFonts w:ascii="Times New Roman" w:hAnsi="Times New Roman"/>
                <w:b/>
                <w:sz w:val="24"/>
                <w:szCs w:val="24"/>
                <w:lang w:val="ru-RU" w:eastAsia="en-US"/>
              </w:rPr>
            </w:r>
          </w:p>
          <w:p>
            <w:pPr>
              <w:pStyle w:val="Normal"/>
              <w:spacing w:lineRule="auto" w:line="240" w:before="0" w:after="0"/>
              <w:rPr>
                <w:rFonts w:ascii="Times New Roman" w:hAnsi="Times New Roman"/>
                <w:b/>
                <w:b/>
                <w:sz w:val="24"/>
                <w:szCs w:val="24"/>
              </w:rPr>
            </w:pPr>
            <w:r>
              <w:rPr>
                <w:rFonts w:ascii="Times New Roman" w:hAnsi="Times New Roman"/>
                <w:b/>
                <w:sz w:val="24"/>
                <w:szCs w:val="24"/>
              </w:rPr>
            </w:r>
          </w:p>
          <w:p>
            <w:pPr>
              <w:pStyle w:val="Normal"/>
              <w:spacing w:lineRule="auto" w:line="240" w:before="0" w:after="0"/>
              <w:rPr/>
            </w:pPr>
            <w:r>
              <w:rPr>
                <w:rFonts w:ascii="Times New Roman" w:hAnsi="Times New Roman"/>
                <w:spacing w:val="-3"/>
                <w:sz w:val="24"/>
                <w:szCs w:val="24"/>
              </w:rPr>
              <w:t>_________</w:t>
            </w:r>
            <w:r>
              <w:rPr>
                <w:rFonts w:ascii="Times New Roman" w:hAnsi="Times New Roman"/>
                <w:spacing w:val="-3"/>
                <w:sz w:val="24"/>
                <w:szCs w:val="24"/>
                <w:lang w:val="en-US"/>
              </w:rPr>
              <w:t>_____</w:t>
            </w:r>
            <w:r>
              <w:rPr>
                <w:rFonts w:ascii="Times New Roman" w:hAnsi="Times New Roman"/>
                <w:spacing w:val="-3"/>
                <w:sz w:val="24"/>
                <w:szCs w:val="24"/>
              </w:rPr>
              <w:t>_____</w:t>
            </w:r>
            <w:r>
              <w:rPr>
                <w:rFonts w:ascii="Times New Roman" w:hAnsi="Times New Roman"/>
                <w:sz w:val="24"/>
                <w:szCs w:val="24"/>
              </w:rPr>
              <w:t>__</w:t>
            </w:r>
            <w:r>
              <w:rPr>
                <w:rFonts w:ascii="Times New Roman" w:hAnsi="Times New Roman"/>
                <w:bCs/>
                <w:sz w:val="24"/>
                <w:szCs w:val="24"/>
              </w:rPr>
              <w:t xml:space="preserve"> </w:t>
            </w:r>
            <w:r>
              <w:rPr>
                <w:rFonts w:ascii="Times New Roman" w:hAnsi="Times New Roman"/>
                <w:sz w:val="24"/>
                <w:szCs w:val="24"/>
                <w:lang w:val="en-US" w:eastAsia="uk-UA"/>
              </w:rPr>
              <w:t>_________________</w:t>
            </w:r>
          </w:p>
          <w:p>
            <w:pPr>
              <w:pStyle w:val="Style20"/>
              <w:shd w:val="clear" w:color="auto" w:fill="auto"/>
              <w:spacing w:lineRule="auto" w:line="240" w:before="0" w:after="0"/>
              <w:jc w:val="left"/>
              <w:rPr>
                <w:rFonts w:ascii="Times New Roman" w:hAnsi="Times New Roman"/>
                <w:sz w:val="24"/>
                <w:szCs w:val="24"/>
                <w:lang w:val="ru-RU" w:eastAsia="en-US"/>
              </w:rPr>
            </w:pPr>
            <w:r>
              <w:rPr>
                <w:rFonts w:ascii="Times New Roman" w:hAnsi="Times New Roman"/>
                <w:sz w:val="24"/>
                <w:szCs w:val="24"/>
                <w:lang w:val="ru-RU" w:eastAsia="en-US"/>
              </w:rPr>
            </w:r>
          </w:p>
        </w:tc>
        <w:tc>
          <w:tcPr>
            <w:tcW w:w="4635" w:type="dxa"/>
            <w:tcBorders>
              <w:top w:val="single" w:sz="4" w:space="0" w:color="000000"/>
              <w:left w:val="single" w:sz="4" w:space="0" w:color="000000"/>
              <w:bottom w:val="single" w:sz="4" w:space="0" w:color="000000"/>
              <w:right w:val="single" w:sz="4" w:space="0" w:color="000000"/>
            </w:tcBorders>
            <w:shd w:color="auto" w:fill="FFFFFF" w:val="clear"/>
          </w:tcPr>
          <w:p>
            <w:pPr>
              <w:pStyle w:val="Style20"/>
              <w:shd w:val="clear" w:color="auto" w:fill="auto"/>
              <w:spacing w:lineRule="auto" w:line="240" w:before="0" w:after="0"/>
              <w:jc w:val="left"/>
              <w:rPr/>
            </w:pPr>
            <w:r>
              <w:rPr>
                <w:rFonts w:ascii="Times New Roman" w:hAnsi="Times New Roman"/>
                <w:sz w:val="24"/>
                <w:szCs w:val="24"/>
                <w:lang w:eastAsia="en-US"/>
              </w:rPr>
              <w:t>_____________________________________</w:t>
            </w:r>
          </w:p>
          <w:p>
            <w:pPr>
              <w:pStyle w:val="Style20"/>
              <w:shd w:val="clear" w:color="auto" w:fill="auto"/>
              <w:spacing w:lineRule="auto" w:line="240" w:before="0" w:after="0"/>
              <w:jc w:val="left"/>
              <w:rPr/>
            </w:pPr>
            <w:r>
              <w:rPr>
                <w:rFonts w:ascii="Times New Roman" w:hAnsi="Times New Roman"/>
                <w:sz w:val="24"/>
                <w:szCs w:val="24"/>
                <w:lang w:eastAsia="en-US"/>
              </w:rPr>
              <w:t>_____________________________________</w:t>
            </w:r>
          </w:p>
          <w:p>
            <w:pPr>
              <w:pStyle w:val="Style20"/>
              <w:shd w:val="clear" w:color="auto" w:fill="auto"/>
              <w:spacing w:lineRule="auto" w:line="240" w:before="0" w:after="0"/>
              <w:jc w:val="left"/>
              <w:rPr/>
            </w:pPr>
            <w:r>
              <w:rPr>
                <w:rFonts w:ascii="Times New Roman" w:hAnsi="Times New Roman"/>
                <w:sz w:val="24"/>
                <w:szCs w:val="24"/>
                <w:lang w:eastAsia="en-US"/>
              </w:rPr>
              <w:t>_____________________________________</w:t>
            </w:r>
          </w:p>
          <w:p>
            <w:pPr>
              <w:pStyle w:val="Style20"/>
              <w:shd w:val="clear" w:color="auto" w:fill="auto"/>
              <w:spacing w:lineRule="auto" w:line="240" w:before="0" w:after="0"/>
              <w:jc w:val="left"/>
              <w:rPr>
                <w:rFonts w:ascii="Times New Roman" w:hAnsi="Times New Roman"/>
                <w:sz w:val="24"/>
                <w:szCs w:val="24"/>
                <w:lang w:val="ru-RU" w:eastAsia="en-US"/>
              </w:rPr>
            </w:pPr>
            <w:r>
              <w:rPr>
                <w:rFonts w:ascii="Times New Roman" w:hAnsi="Times New Roman"/>
                <w:sz w:val="24"/>
                <w:szCs w:val="24"/>
                <w:lang w:val="ru-RU" w:eastAsia="en-US"/>
              </w:rPr>
            </w:r>
          </w:p>
          <w:p>
            <w:pPr>
              <w:pStyle w:val="Style20"/>
              <w:shd w:val="clear" w:color="auto" w:fill="auto"/>
              <w:spacing w:lineRule="auto" w:line="240" w:before="0" w:after="0"/>
              <w:ind w:left="60" w:hanging="0"/>
              <w:jc w:val="left"/>
              <w:rPr/>
            </w:pPr>
            <w:r>
              <w:rPr>
                <w:rFonts w:ascii="Times New Roman" w:hAnsi="Times New Roman"/>
                <w:sz w:val="24"/>
                <w:szCs w:val="24"/>
                <w:lang w:eastAsia="en-US"/>
              </w:rPr>
              <w:t>______________________________________</w:t>
            </w:r>
          </w:p>
          <w:p>
            <w:pPr>
              <w:pStyle w:val="Style20"/>
              <w:shd w:val="clear" w:color="auto" w:fill="auto"/>
              <w:spacing w:lineRule="auto" w:line="240" w:before="0" w:after="0"/>
              <w:ind w:left="60" w:hanging="0"/>
              <w:jc w:val="left"/>
              <w:rPr/>
            </w:pPr>
            <w:r>
              <w:rPr>
                <w:rFonts w:ascii="Times New Roman" w:hAnsi="Times New Roman"/>
                <w:sz w:val="24"/>
                <w:szCs w:val="24"/>
                <w:lang w:eastAsia="en-US"/>
              </w:rPr>
              <w:t>______________________________________</w:t>
            </w:r>
          </w:p>
          <w:p>
            <w:pPr>
              <w:pStyle w:val="Style20"/>
              <w:shd w:val="clear" w:color="auto" w:fill="auto"/>
              <w:spacing w:lineRule="auto" w:line="240" w:before="0" w:after="0"/>
              <w:ind w:left="60" w:hanging="0"/>
              <w:jc w:val="left"/>
              <w:rPr>
                <w:rFonts w:ascii="Times New Roman" w:hAnsi="Times New Roman"/>
                <w:sz w:val="24"/>
                <w:szCs w:val="24"/>
                <w:lang w:val="ru-RU" w:eastAsia="en-US"/>
              </w:rPr>
            </w:pPr>
            <w:r>
              <w:rPr>
                <w:rFonts w:ascii="Times New Roman" w:hAnsi="Times New Roman"/>
                <w:sz w:val="24"/>
                <w:szCs w:val="24"/>
                <w:lang w:val="ru-RU" w:eastAsia="en-US"/>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pPr>
            <w:r>
              <w:rPr>
                <w:rFonts w:ascii="Times New Roman" w:hAnsi="Times New Roman"/>
                <w:spacing w:val="-3"/>
                <w:sz w:val="24"/>
                <w:szCs w:val="24"/>
              </w:rPr>
              <w:t>_________</w:t>
            </w:r>
            <w:r>
              <w:rPr>
                <w:rFonts w:ascii="Times New Roman" w:hAnsi="Times New Roman"/>
                <w:spacing w:val="-3"/>
                <w:sz w:val="24"/>
                <w:szCs w:val="24"/>
                <w:lang w:val="en-US"/>
              </w:rPr>
              <w:t>_____</w:t>
            </w:r>
            <w:r>
              <w:rPr>
                <w:rFonts w:ascii="Times New Roman" w:hAnsi="Times New Roman"/>
                <w:spacing w:val="-3"/>
                <w:sz w:val="24"/>
                <w:szCs w:val="24"/>
              </w:rPr>
              <w:t>_____</w:t>
            </w:r>
            <w:r>
              <w:rPr>
                <w:rFonts w:ascii="Times New Roman" w:hAnsi="Times New Roman"/>
                <w:sz w:val="24"/>
                <w:szCs w:val="24"/>
              </w:rPr>
              <w:t>__</w:t>
            </w:r>
            <w:r>
              <w:rPr>
                <w:rFonts w:ascii="Times New Roman" w:hAnsi="Times New Roman"/>
                <w:bCs/>
                <w:sz w:val="24"/>
                <w:szCs w:val="24"/>
              </w:rPr>
              <w:t xml:space="preserve"> </w:t>
            </w:r>
            <w:r>
              <w:rPr>
                <w:rFonts w:ascii="Times New Roman" w:hAnsi="Times New Roman"/>
                <w:sz w:val="24"/>
                <w:szCs w:val="24"/>
                <w:lang w:val="en-US" w:eastAsia="uk-UA"/>
              </w:rPr>
              <w:t>_________________</w:t>
            </w:r>
          </w:p>
          <w:p>
            <w:pPr>
              <w:pStyle w:val="Style20"/>
              <w:shd w:val="clear" w:color="auto" w:fill="auto"/>
              <w:spacing w:lineRule="auto" w:line="240" w:before="0" w:after="0"/>
              <w:ind w:left="60" w:hanging="0"/>
              <w:jc w:val="left"/>
              <w:rPr>
                <w:rFonts w:ascii="Times New Roman" w:hAnsi="Times New Roman"/>
                <w:b/>
                <w:b/>
                <w:sz w:val="24"/>
                <w:szCs w:val="24"/>
                <w:lang w:val="ru-RU"/>
              </w:rPr>
            </w:pPr>
            <w:r>
              <w:rPr>
                <w:rFonts w:ascii="Times New Roman" w:hAnsi="Times New Roman"/>
                <w:b/>
                <w:sz w:val="24"/>
                <w:szCs w:val="24"/>
                <w:lang w:val="ru-RU"/>
              </w:rPr>
            </w:r>
          </w:p>
        </w:tc>
      </w:tr>
    </w:tbl>
    <w:p>
      <w:pPr>
        <w:pStyle w:val="Normal"/>
        <w:spacing w:lineRule="auto" w:line="240" w:before="0" w:after="0"/>
        <w:rPr/>
      </w:pPr>
      <w:r>
        <w:rPr/>
      </w:r>
    </w:p>
    <w:sectPr>
      <w:type w:val="nextPage"/>
      <w:pgSz w:w="11906" w:h="16838"/>
      <w:pgMar w:left="1701" w:right="851" w:header="0" w:top="567" w:footer="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roman"/>
    <w:pitch w:val="variable"/>
  </w:font>
  <w:font w:name="Symbol">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4"/>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ind w:left="108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ind w:left="720" w:hanging="360"/>
      </w:pPr>
      <w:rPr>
        <w:rFonts w:ascii="Symbol" w:hAnsi="Symbol" w:cs="Symbol" w:hint="default"/>
        <w:sz w:val="24"/>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compatSetting w:name="compatibilityMode" w:uri="http://schemas.microsoft.com/office/word" w:val="1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8534c"/>
    <w:pPr>
      <w:widowControl/>
      <w:bidi w:val="0"/>
      <w:spacing w:lineRule="auto" w:line="276" w:before="0" w:after="200"/>
      <w:jc w:val="left"/>
    </w:pPr>
    <w:rPr>
      <w:rFonts w:ascii="Calibri" w:hAnsi="Calibri" w:eastAsia="Calibri"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uiPriority w:val="99"/>
    <w:semiHidden/>
    <w:qFormat/>
    <w:rsid w:val="00a13793"/>
    <w:rPr>
      <w:rFonts w:cs="Times New Roman"/>
      <w:sz w:val="16"/>
      <w:szCs w:val="16"/>
    </w:rPr>
  </w:style>
  <w:style w:type="character" w:styleId="Style14" w:customStyle="1">
    <w:name w:val="Текст примечания Знак"/>
    <w:link w:val="a6"/>
    <w:uiPriority w:val="99"/>
    <w:semiHidden/>
    <w:qFormat/>
    <w:locked/>
    <w:rsid w:val="00a13793"/>
    <w:rPr>
      <w:rFonts w:cs="Times New Roman"/>
      <w:sz w:val="20"/>
      <w:szCs w:val="20"/>
    </w:rPr>
  </w:style>
  <w:style w:type="character" w:styleId="Style15" w:customStyle="1">
    <w:name w:val="Тема примечания Знак"/>
    <w:link w:val="a8"/>
    <w:uiPriority w:val="99"/>
    <w:semiHidden/>
    <w:qFormat/>
    <w:locked/>
    <w:rsid w:val="00a13793"/>
    <w:rPr>
      <w:rFonts w:cs="Times New Roman"/>
      <w:b/>
      <w:bCs/>
      <w:sz w:val="20"/>
      <w:szCs w:val="20"/>
    </w:rPr>
  </w:style>
  <w:style w:type="character" w:styleId="Style16" w:customStyle="1">
    <w:name w:val="Текст выноски Знак"/>
    <w:link w:val="aa"/>
    <w:uiPriority w:val="99"/>
    <w:semiHidden/>
    <w:qFormat/>
    <w:locked/>
    <w:rsid w:val="00a13793"/>
    <w:rPr>
      <w:rFonts w:ascii="Tahoma" w:hAnsi="Tahoma" w:cs="Tahoma"/>
      <w:sz w:val="16"/>
      <w:szCs w:val="16"/>
    </w:rPr>
  </w:style>
  <w:style w:type="character" w:styleId="BodyTextChar1" w:customStyle="1">
    <w:name w:val="Body Text Char1"/>
    <w:uiPriority w:val="99"/>
    <w:qFormat/>
    <w:locked/>
    <w:rsid w:val="00bc6995"/>
    <w:rPr>
      <w:sz w:val="23"/>
    </w:rPr>
  </w:style>
  <w:style w:type="character" w:styleId="Style17" w:customStyle="1">
    <w:name w:val="Основной текст Знак"/>
    <w:link w:val="ae"/>
    <w:uiPriority w:val="99"/>
    <w:semiHidden/>
    <w:qFormat/>
    <w:locked/>
    <w:rsid w:val="007f25fc"/>
    <w:rPr>
      <w:rFonts w:cs="Times New Roman"/>
      <w:lang w:val="ru-RU"/>
    </w:rPr>
  </w:style>
  <w:style w:type="character" w:styleId="Style18">
    <w:name w:val="Интернет-ссылка"/>
    <w:uiPriority w:val="99"/>
    <w:rsid w:val="00ca5f58"/>
    <w:rPr>
      <w:rFonts w:cs="Times New Roman"/>
      <w:color w:val="648BCB"/>
      <w:u w:val="single"/>
    </w:rPr>
  </w:style>
  <w:style w:type="character" w:styleId="2" w:customStyle="1">
    <w:name w:val="Основной текст (2)_"/>
    <w:link w:val="20"/>
    <w:uiPriority w:val="99"/>
    <w:qFormat/>
    <w:locked/>
    <w:rsid w:val="00ca5f58"/>
    <w:rPr>
      <w:rFonts w:cs="Mangal"/>
      <w:b/>
      <w:bCs/>
      <w:sz w:val="23"/>
      <w:szCs w:val="23"/>
      <w:lang w:bidi="hi-IN"/>
    </w:rPr>
  </w:style>
  <w:style w:type="character" w:styleId="21" w:customStyle="1">
    <w:name w:val="Основной текст (2) + Не полужирный"/>
    <w:uiPriority w:val="99"/>
    <w:qFormat/>
    <w:rsid w:val="00ca5f58"/>
    <w:rPr>
      <w:rFonts w:cs="Mangal"/>
      <w:b/>
      <w:bCs/>
      <w:sz w:val="23"/>
      <w:szCs w:val="23"/>
      <w:lang w:bidi="hi-IN"/>
    </w:rPr>
  </w:style>
  <w:style w:type="character" w:styleId="ListLabel1">
    <w:name w:val="ListLabel 1"/>
    <w:qFormat/>
    <w:rPr>
      <w:rFonts w:eastAsia="Times New Roman"/>
      <w:color w:val="auto"/>
    </w:rPr>
  </w:style>
  <w:style w:type="character" w:styleId="ListLabel2">
    <w:name w:val="ListLabel 2"/>
    <w:qFormat/>
    <w:rPr>
      <w:rFonts w:eastAsia="Times New Roman"/>
    </w:rPr>
  </w:style>
  <w:style w:type="character" w:styleId="ListLabel3">
    <w:name w:val="ListLabel 3"/>
    <w:qFormat/>
    <w:rPr>
      <w:rFonts w:eastAsia="Times New Roman"/>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rFonts w:eastAsia="Times New Roman"/>
    </w:rPr>
  </w:style>
  <w:style w:type="character" w:styleId="ListLabel14">
    <w:name w:val="ListLabel 14"/>
    <w:qFormat/>
    <w:rPr>
      <w:rFonts w:eastAsia="Times New Roman"/>
      <w:color w:val="auto"/>
    </w:rPr>
  </w:style>
  <w:style w:type="character" w:styleId="ListLabel15">
    <w:name w:val="ListLabel 15"/>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16">
    <w:name w:val="ListLabel 16"/>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17">
    <w:name w:val="ListLabel 17"/>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18">
    <w:name w:val="ListLabel 18"/>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19">
    <w:name w:val="ListLabel 19"/>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20">
    <w:name w:val="ListLabel 20"/>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21">
    <w:name w:val="ListLabel 21"/>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22">
    <w:name w:val="ListLabel 22"/>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23">
    <w:name w:val="ListLabel 23"/>
    <w:qFormat/>
    <w:rPr>
      <w:rFonts w:cs="Times New Roman"/>
      <w:b w:val="false"/>
      <w:bCs w:val="false"/>
      <w:i w:val="false"/>
      <w:iCs w:val="false"/>
      <w:caps w:val="false"/>
      <w:smallCaps w:val="false"/>
      <w:strike w:val="false"/>
      <w:dstrike w:val="false"/>
      <w:color w:val="000000"/>
      <w:spacing w:val="0"/>
      <w:w w:val="100"/>
      <w:sz w:val="23"/>
      <w:szCs w:val="23"/>
      <w:u w:val="none"/>
    </w:rPr>
  </w:style>
  <w:style w:type="character" w:styleId="ListLabel24">
    <w:name w:val="ListLabel 24"/>
    <w:qFormat/>
    <w:rPr>
      <w:rFonts w:ascii="Times New Roman" w:hAnsi="Times New Roman" w:cs="Symbol"/>
      <w:sz w:val="24"/>
    </w:rPr>
  </w:style>
  <w:style w:type="character" w:styleId="ListLabel25">
    <w:name w:val="ListLabel 25"/>
    <w:qFormat/>
    <w:rPr>
      <w:rFonts w:cs="Symbol"/>
    </w:rPr>
  </w:style>
  <w:style w:type="character" w:styleId="ListLabel26">
    <w:name w:val="ListLabel 26"/>
    <w:qFormat/>
    <w:rPr>
      <w:rFonts w:cs="Symbol"/>
    </w:rPr>
  </w:style>
  <w:style w:type="character" w:styleId="ListLabel27">
    <w:name w:val="ListLabel 27"/>
    <w:qFormat/>
    <w:rPr>
      <w:rFonts w:ascii="Times New Roman" w:hAnsi="Times New Roman" w:cs="Symbol"/>
      <w:sz w:val="24"/>
    </w:rPr>
  </w:style>
  <w:style w:type="character" w:styleId="ListLabel28">
    <w:name w:val="ListLabel 28"/>
    <w:qFormat/>
    <w:rPr>
      <w:rFonts w:ascii="Times New Roman" w:hAnsi="Times New Roman" w:cs="Symbol"/>
      <w:sz w:val="24"/>
    </w:rPr>
  </w:style>
  <w:style w:type="character" w:styleId="ListLabel29">
    <w:name w:val="ListLabel 29"/>
    <w:qFormat/>
    <w:rPr>
      <w:rFonts w:cs="Symbol"/>
    </w:rPr>
  </w:style>
  <w:style w:type="character" w:styleId="ListLabel30">
    <w:name w:val="ListLabel 30"/>
    <w:qFormat/>
    <w:rPr>
      <w:rFonts w:cs="Symbol"/>
    </w:rPr>
  </w:style>
  <w:style w:type="character" w:styleId="ListLabel31">
    <w:name w:val="ListLabel 31"/>
    <w:qFormat/>
    <w:rPr>
      <w:rFonts w:ascii="Times New Roman" w:hAnsi="Times New Roman" w:cs="Symbol"/>
      <w:sz w:val="24"/>
    </w:rPr>
  </w:style>
  <w:style w:type="character" w:styleId="21pt">
    <w:name w:val="Основной текст (2) + Интервал 1 pt"/>
    <w:qFormat/>
    <w:rPr>
      <w:rFonts w:ascii="Times New Roman" w:hAnsi="Times New Roman" w:cs="Times New Roman"/>
      <w:spacing w:val="20"/>
      <w:shd w:fill="FFFFFF" w:val="clear"/>
    </w:rPr>
  </w:style>
  <w:style w:type="character" w:styleId="ListLabel32">
    <w:name w:val="ListLabel 32"/>
    <w:qFormat/>
    <w:rPr>
      <w:rFonts w:ascii="Times New Roman" w:hAnsi="Times New Roman" w:cs="Symbol"/>
      <w:sz w:val="24"/>
    </w:rPr>
  </w:style>
  <w:style w:type="character" w:styleId="ListLabel33">
    <w:name w:val="ListLabel 33"/>
    <w:qFormat/>
    <w:rPr>
      <w:rFonts w:cs="Symbol"/>
    </w:rPr>
  </w:style>
  <w:style w:type="character" w:styleId="ListLabel34">
    <w:name w:val="ListLabel 34"/>
    <w:qFormat/>
    <w:rPr>
      <w:rFonts w:cs="Symbol"/>
    </w:rPr>
  </w:style>
  <w:style w:type="character" w:styleId="ListLabel35">
    <w:name w:val="ListLabel 35"/>
    <w:qFormat/>
    <w:rPr>
      <w:rFonts w:ascii="Times New Roman" w:hAnsi="Times New Roman" w:cs="Symbol"/>
      <w:sz w:val="24"/>
    </w:rPr>
  </w:style>
  <w:style w:type="character" w:styleId="ListLabel36">
    <w:name w:val="ListLabel 36"/>
    <w:qFormat/>
    <w:rPr>
      <w:rFonts w:ascii="Times New Roman" w:hAnsi="Times New Roman"/>
      <w:color w:val="000000"/>
      <w:sz w:val="24"/>
      <w:szCs w:val="24"/>
    </w:rPr>
  </w:style>
  <w:style w:type="character" w:styleId="ListLabel37">
    <w:name w:val="ListLabel 37"/>
    <w:qFormat/>
    <w:rPr>
      <w:rFonts w:ascii="Times New Roman" w:hAnsi="Times New Roman" w:cs="Symbol"/>
      <w:sz w:val="24"/>
    </w:rPr>
  </w:style>
  <w:style w:type="character" w:styleId="ListLabel38">
    <w:name w:val="ListLabel 38"/>
    <w:qFormat/>
    <w:rPr>
      <w:rFonts w:cs="Symbol"/>
    </w:rPr>
  </w:style>
  <w:style w:type="character" w:styleId="ListLabel39">
    <w:name w:val="ListLabel 39"/>
    <w:qFormat/>
    <w:rPr>
      <w:rFonts w:cs="Symbol"/>
    </w:rPr>
  </w:style>
  <w:style w:type="character" w:styleId="ListLabel40">
    <w:name w:val="ListLabel 40"/>
    <w:qFormat/>
    <w:rPr>
      <w:rFonts w:ascii="Times New Roman" w:hAnsi="Times New Roman" w:cs="Symbol"/>
      <w:sz w:val="24"/>
    </w:rPr>
  </w:style>
  <w:style w:type="character" w:styleId="ListLabel41">
    <w:name w:val="ListLabel 41"/>
    <w:qFormat/>
    <w:rPr>
      <w:rFonts w:ascii="Times New Roman" w:hAnsi="Times New Roman"/>
      <w:color w:val="000000"/>
      <w:sz w:val="24"/>
      <w:szCs w:val="24"/>
    </w:rPr>
  </w:style>
  <w:style w:type="character" w:styleId="ListLabel42">
    <w:name w:val="ListLabel 42"/>
    <w:qFormat/>
    <w:rPr>
      <w:rFonts w:ascii="Times New Roman" w:hAnsi="Times New Roman" w:cs="Symbol"/>
      <w:sz w:val="24"/>
    </w:rPr>
  </w:style>
  <w:style w:type="character" w:styleId="ListLabel43">
    <w:name w:val="ListLabel 43"/>
    <w:qFormat/>
    <w:rPr>
      <w:rFonts w:cs="Symbol"/>
    </w:rPr>
  </w:style>
  <w:style w:type="character" w:styleId="ListLabel44">
    <w:name w:val="ListLabel 44"/>
    <w:qFormat/>
    <w:rPr>
      <w:rFonts w:cs="Symbol"/>
    </w:rPr>
  </w:style>
  <w:style w:type="character" w:styleId="ListLabel45">
    <w:name w:val="ListLabel 45"/>
    <w:qFormat/>
    <w:rPr>
      <w:rFonts w:ascii="Times New Roman" w:hAnsi="Times New Roman" w:cs="Symbol"/>
      <w:sz w:val="24"/>
    </w:rPr>
  </w:style>
  <w:style w:type="character" w:styleId="ListLabel46">
    <w:name w:val="ListLabel 46"/>
    <w:qFormat/>
    <w:rPr>
      <w:rFonts w:ascii="Times New Roman" w:hAnsi="Times New Roman"/>
      <w:color w:val="000000"/>
      <w:sz w:val="24"/>
      <w:szCs w:val="24"/>
    </w:rPr>
  </w:style>
  <w:style w:type="character" w:styleId="ListLabel47">
    <w:name w:val="ListLabel 47"/>
    <w:qFormat/>
    <w:rPr>
      <w:rFonts w:ascii="Times New Roman" w:hAnsi="Times New Roman" w:cs="Symbol"/>
      <w:sz w:val="24"/>
    </w:rPr>
  </w:style>
  <w:style w:type="character" w:styleId="ListLabel48">
    <w:name w:val="ListLabel 48"/>
    <w:qFormat/>
    <w:rPr>
      <w:rFonts w:cs="Symbol"/>
    </w:rPr>
  </w:style>
  <w:style w:type="character" w:styleId="ListLabel49">
    <w:name w:val="ListLabel 49"/>
    <w:qFormat/>
    <w:rPr>
      <w:rFonts w:cs="Symbol"/>
    </w:rPr>
  </w:style>
  <w:style w:type="character" w:styleId="ListLabel50">
    <w:name w:val="ListLabel 50"/>
    <w:qFormat/>
    <w:rPr>
      <w:rFonts w:ascii="Times New Roman" w:hAnsi="Times New Roman" w:cs="Symbol"/>
      <w:sz w:val="24"/>
    </w:rPr>
  </w:style>
  <w:style w:type="character" w:styleId="ListLabel51">
    <w:name w:val="ListLabel 51"/>
    <w:qFormat/>
    <w:rPr>
      <w:rFonts w:ascii="Times New Roman" w:hAnsi="Times New Roman"/>
      <w:color w:val="000000"/>
      <w:sz w:val="24"/>
      <w:szCs w:val="24"/>
    </w:rPr>
  </w:style>
  <w:style w:type="character" w:styleId="ListLabel52">
    <w:name w:val="ListLabel 52"/>
    <w:qFormat/>
    <w:rPr>
      <w:rFonts w:ascii="Times New Roman" w:hAnsi="Times New Roman" w:cs="Symbol"/>
      <w:sz w:val="24"/>
    </w:rPr>
  </w:style>
  <w:style w:type="character" w:styleId="ListLabel53">
    <w:name w:val="ListLabel 53"/>
    <w:qFormat/>
    <w:rPr>
      <w:rFonts w:cs="Symbol"/>
    </w:rPr>
  </w:style>
  <w:style w:type="character" w:styleId="ListLabel54">
    <w:name w:val="ListLabel 54"/>
    <w:qFormat/>
    <w:rPr>
      <w:rFonts w:cs="Symbol"/>
    </w:rPr>
  </w:style>
  <w:style w:type="character" w:styleId="ListLabel55">
    <w:name w:val="ListLabel 55"/>
    <w:qFormat/>
    <w:rPr>
      <w:rFonts w:ascii="Times New Roman" w:hAnsi="Times New Roman" w:cs="Symbol"/>
      <w:sz w:val="24"/>
    </w:rPr>
  </w:style>
  <w:style w:type="character" w:styleId="ListLabel56">
    <w:name w:val="ListLabel 56"/>
    <w:qFormat/>
    <w:rPr>
      <w:rFonts w:ascii="Times New Roman" w:hAnsi="Times New Roman"/>
      <w:color w:val="000000"/>
      <w:sz w:val="24"/>
      <w:szCs w:val="24"/>
    </w:rPr>
  </w:style>
  <w:style w:type="paragraph" w:styleId="Style19">
    <w:name w:val="Заголовок"/>
    <w:basedOn w:val="Normal"/>
    <w:next w:val="Style20"/>
    <w:qFormat/>
    <w:pPr>
      <w:keepNext w:val="true"/>
      <w:spacing w:before="240" w:after="120"/>
    </w:pPr>
    <w:rPr>
      <w:rFonts w:ascii="Liberation Sans" w:hAnsi="Liberation Sans" w:eastAsia="Noto Sans CJK SC" w:cs="Lohit Devanagari"/>
      <w:sz w:val="28"/>
      <w:szCs w:val="28"/>
    </w:rPr>
  </w:style>
  <w:style w:type="paragraph" w:styleId="Style20">
    <w:name w:val="Body Text"/>
    <w:basedOn w:val="Normal"/>
    <w:link w:val="af"/>
    <w:uiPriority w:val="99"/>
    <w:rsid w:val="00bc6995"/>
    <w:pPr>
      <w:shd w:val="clear" w:color="auto" w:fill="FFFFFF"/>
      <w:spacing w:lineRule="exact" w:line="264" w:before="480" w:after="0"/>
      <w:jc w:val="both"/>
    </w:pPr>
    <w:rPr>
      <w:rFonts w:cs="Mangal"/>
      <w:sz w:val="23"/>
      <w:szCs w:val="23"/>
      <w:lang w:val="en-US" w:eastAsia="ru-RU" w:bidi="hi-IN"/>
    </w:rPr>
  </w:style>
  <w:style w:type="paragraph" w:styleId="Style21">
    <w:name w:val="List"/>
    <w:basedOn w:val="Style20"/>
    <w:pPr>
      <w:shd w:val="clear" w:fill="FFFFFF"/>
    </w:pPr>
    <w:rPr>
      <w:rFonts w:cs="Lohit Devanagari"/>
    </w:rPr>
  </w:style>
  <w:style w:type="paragraph" w:styleId="Style22">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NormalWeb">
    <w:name w:val="Normal (Web)"/>
    <w:basedOn w:val="Normal"/>
    <w:uiPriority w:val="99"/>
    <w:qFormat/>
    <w:rsid w:val="001514fe"/>
    <w:pPr>
      <w:spacing w:lineRule="auto" w:line="240" w:beforeAutospacing="1" w:afterAutospacing="1"/>
    </w:pPr>
    <w:rPr>
      <w:rFonts w:ascii="Times New Roman" w:hAnsi="Times New Roman" w:eastAsia="Times New Roman"/>
      <w:sz w:val="24"/>
      <w:szCs w:val="24"/>
      <w:lang w:eastAsia="ru-RU"/>
    </w:rPr>
  </w:style>
  <w:style w:type="paragraph" w:styleId="Annotationtext">
    <w:name w:val="annotation text"/>
    <w:basedOn w:val="Normal"/>
    <w:link w:val="a7"/>
    <w:uiPriority w:val="99"/>
    <w:semiHidden/>
    <w:qFormat/>
    <w:rsid w:val="00a13793"/>
    <w:pPr>
      <w:spacing w:lineRule="auto" w:line="240"/>
    </w:pPr>
    <w:rPr>
      <w:sz w:val="20"/>
      <w:szCs w:val="20"/>
    </w:rPr>
  </w:style>
  <w:style w:type="paragraph" w:styleId="Annotationsubject">
    <w:name w:val="annotation subject"/>
    <w:basedOn w:val="Annotationtext"/>
    <w:link w:val="a9"/>
    <w:uiPriority w:val="99"/>
    <w:semiHidden/>
    <w:qFormat/>
    <w:rsid w:val="00a13793"/>
    <w:pPr/>
    <w:rPr>
      <w:b/>
      <w:bCs/>
    </w:rPr>
  </w:style>
  <w:style w:type="paragraph" w:styleId="BalloonText">
    <w:name w:val="Balloon Text"/>
    <w:basedOn w:val="Normal"/>
    <w:link w:val="ab"/>
    <w:uiPriority w:val="99"/>
    <w:semiHidden/>
    <w:qFormat/>
    <w:rsid w:val="00a13793"/>
    <w:pPr>
      <w:spacing w:lineRule="auto" w:line="240" w:before="0" w:after="0"/>
    </w:pPr>
    <w:rPr>
      <w:rFonts w:ascii="Tahoma" w:hAnsi="Tahoma" w:cs="Tahoma"/>
      <w:sz w:val="16"/>
      <w:szCs w:val="16"/>
    </w:rPr>
  </w:style>
  <w:style w:type="paragraph" w:styleId="NoSpacing">
    <w:name w:val="No Spacing"/>
    <w:uiPriority w:val="99"/>
    <w:qFormat/>
    <w:rsid w:val="000967b3"/>
    <w:pPr>
      <w:widowControl/>
      <w:bidi w:val="0"/>
      <w:jc w:val="left"/>
    </w:pPr>
    <w:rPr>
      <w:rFonts w:ascii="Calibri" w:hAnsi="Calibri" w:eastAsia="Calibri" w:cs="Times New Roman"/>
      <w:color w:val="auto"/>
      <w:kern w:val="0"/>
      <w:sz w:val="22"/>
      <w:szCs w:val="22"/>
      <w:lang w:val="uk-UA" w:eastAsia="en-US" w:bidi="ar-SA"/>
    </w:rPr>
  </w:style>
  <w:style w:type="paragraph" w:styleId="ListParagraph">
    <w:name w:val="List Paragraph"/>
    <w:basedOn w:val="Normal"/>
    <w:uiPriority w:val="99"/>
    <w:qFormat/>
    <w:rsid w:val="000f60e3"/>
    <w:pPr>
      <w:spacing w:before="0" w:after="200"/>
      <w:ind w:left="720" w:hanging="0"/>
      <w:contextualSpacing/>
    </w:pPr>
    <w:rPr/>
  </w:style>
  <w:style w:type="paragraph" w:styleId="22" w:customStyle="1">
    <w:name w:val="Основной текст (2)"/>
    <w:basedOn w:val="Normal"/>
    <w:link w:val="2"/>
    <w:uiPriority w:val="99"/>
    <w:qFormat/>
    <w:rsid w:val="00ca5f58"/>
    <w:pPr>
      <w:shd w:val="clear" w:color="auto" w:fill="FFFFFF"/>
      <w:spacing w:lineRule="atLeast" w:line="240" w:before="60" w:after="180"/>
    </w:pPr>
    <w:rPr>
      <w:rFonts w:ascii="Times New Roman" w:hAnsi="Times New Roman" w:cs="Mangal"/>
      <w:b/>
      <w:bCs/>
      <w:sz w:val="23"/>
      <w:szCs w:val="23"/>
      <w:lang w:val="en-US" w:bidi="hi-IN"/>
    </w:rPr>
  </w:style>
  <w:style w:type="paragraph" w:styleId="11">
    <w:name w:val="Подзаголовок11"/>
    <w:basedOn w:val="Normal"/>
    <w:qFormat/>
    <w:pPr>
      <w:jc w:val="center"/>
    </w:pPr>
    <w:rPr>
      <w:rFonts w:eastAsia="Calibri"/>
      <w:szCs w:val="20"/>
      <w:lang w:val="uk-UA"/>
    </w:rPr>
  </w:style>
  <w:style w:type="paragraph" w:styleId="211">
    <w:name w:val="Основной текст (2)1"/>
    <w:basedOn w:val="Normal"/>
    <w:qFormat/>
    <w:pPr>
      <w:widowControl w:val="false"/>
      <w:shd w:val="clear" w:fill="FFFFFF"/>
      <w:spacing w:lineRule="exact" w:line="226"/>
      <w:ind w:hanging="360"/>
      <w:jc w:val="both"/>
    </w:pPr>
    <w:rPr>
      <w:spacing w:val="10"/>
      <w:sz w:val="20"/>
      <w:szCs w:val="20"/>
      <w:shd w:fill="FFFFFF" w:val="clear"/>
      <w:lang w:val="uk-U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4">
    <w:name w:val="Table Grid"/>
    <w:basedOn w:val="a1"/>
    <w:uiPriority w:val="99"/>
    <w:rsid w:val="0082639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Application>LibreOffice/6.2.8.2$Linux_X86_64 LibreOffice_project/20$Build-2</Application>
  <Pages>5</Pages>
  <Words>1506</Words>
  <Characters>10888</Characters>
  <CharactersWithSpaces>12327</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2018-12-14T05:33:00Z</dcterms:created>
  <dc:creator>Nigmatullina Tatyana</dc:creator>
  <dc:description/>
  <dc:language>ru-RU</dc:language>
  <cp:lastModifiedBy/>
  <cp:lastPrinted>2020-05-06T08:58:27Z</cp:lastPrinted>
  <dcterms:modified xsi:type="dcterms:W3CDTF">2023-09-12T13:29:41Z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