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ind w:left="5954" w:hanging="0"/>
        <w:rPr>
          <w:rFonts w:ascii="Times New Roman" w:hAnsi="Times New Roman" w:cs="Mangal"/>
          <w:b/>
          <w:b/>
          <w:sz w:val="24"/>
          <w:szCs w:val="24"/>
          <w:lang w:val="uk-UA" w:bidi="hi-IN"/>
        </w:rPr>
      </w:pPr>
      <w:r>
        <w:rPr>
          <w:rFonts w:ascii="Times New Roman" w:hAnsi="Times New Roman"/>
          <w:b/>
          <w:sz w:val="24"/>
          <w:szCs w:val="24"/>
          <w:lang w:val="uk-UA" w:bidi="hi-IN"/>
        </w:rPr>
        <w:t>Додаток 3</w:t>
      </w:r>
    </w:p>
    <w:p>
      <w:pPr>
        <w:pStyle w:val="Normal"/>
        <w:spacing w:lineRule="auto" w:line="240" w:before="0" w:after="0"/>
        <w:ind w:left="5954" w:hanging="0"/>
        <w:rPr>
          <w:rFonts w:ascii="Times New Roman" w:hAnsi="Times New Roman" w:cs="Mangal"/>
          <w:sz w:val="24"/>
          <w:szCs w:val="24"/>
          <w:lang w:val="uk-UA" w:bidi="hi-IN"/>
        </w:rPr>
      </w:pPr>
      <w:r>
        <w:rPr>
          <w:rFonts w:cs="Mangal" w:ascii="Times New Roman" w:hAnsi="Times New Roman"/>
          <w:sz w:val="24"/>
          <w:szCs w:val="24"/>
          <w:lang w:val="uk-UA" w:bidi="hi-IN"/>
        </w:rPr>
        <w:t>до договору про постачання</w:t>
      </w:r>
    </w:p>
    <w:p>
      <w:pPr>
        <w:pStyle w:val="Normal"/>
        <w:spacing w:lineRule="auto" w:line="240" w:before="0" w:after="0"/>
        <w:ind w:left="5954" w:hanging="0"/>
        <w:rPr>
          <w:rFonts w:ascii="Times New Roman" w:hAnsi="Times New Roman" w:cs="Mangal"/>
          <w:sz w:val="24"/>
          <w:szCs w:val="24"/>
          <w:lang w:val="uk-UA" w:bidi="hi-IN"/>
        </w:rPr>
      </w:pPr>
      <w:r>
        <w:rPr>
          <w:rFonts w:cs="Mangal" w:ascii="Times New Roman" w:hAnsi="Times New Roman"/>
          <w:sz w:val="24"/>
          <w:szCs w:val="24"/>
          <w:lang w:val="uk-UA" w:bidi="hi-IN"/>
        </w:rPr>
        <w:t xml:space="preserve">електричної енергії </w:t>
      </w:r>
    </w:p>
    <w:p>
      <w:pPr>
        <w:pStyle w:val="Normal"/>
        <w:spacing w:lineRule="auto" w:line="240" w:before="0" w:after="0"/>
        <w:ind w:left="5954" w:hanging="0"/>
        <w:rPr>
          <w:rFonts w:ascii="Times New Roman" w:hAnsi="Times New Roman" w:cs="Mangal"/>
          <w:sz w:val="24"/>
          <w:szCs w:val="24"/>
          <w:lang w:val="uk-UA" w:bidi="hi-IN"/>
        </w:rPr>
      </w:pPr>
      <w:r>
        <w:rPr>
          <w:rFonts w:cs="Mangal" w:ascii="Times New Roman" w:hAnsi="Times New Roman"/>
          <w:sz w:val="24"/>
          <w:szCs w:val="24"/>
          <w:lang w:val="uk-UA" w:bidi="hi-IN"/>
        </w:rPr>
        <w:t xml:space="preserve">постачальником </w:t>
      </w:r>
    </w:p>
    <w:p>
      <w:pPr>
        <w:pStyle w:val="Normal"/>
        <w:spacing w:lineRule="auto" w:line="240" w:before="0" w:after="0"/>
        <w:ind w:left="5954" w:hanging="0"/>
        <w:rPr>
          <w:rFonts w:ascii="Times New Roman" w:hAnsi="Times New Roman" w:cs="Mangal"/>
          <w:sz w:val="24"/>
          <w:szCs w:val="24"/>
          <w:lang w:val="uk-UA" w:bidi="hi-IN"/>
        </w:rPr>
      </w:pPr>
      <w:r>
        <w:rPr>
          <w:rFonts w:cs="Mangal" w:ascii="Times New Roman" w:hAnsi="Times New Roman"/>
          <w:sz w:val="24"/>
          <w:szCs w:val="24"/>
          <w:lang w:val="uk-UA" w:bidi="hi-IN"/>
        </w:rPr>
        <w:t>універсальних послуг</w:t>
      </w:r>
    </w:p>
    <w:p>
      <w:pPr>
        <w:pStyle w:val="Normal"/>
        <w:tabs>
          <w:tab w:val="clear" w:pos="708"/>
          <w:tab w:val="left" w:pos="141" w:leader="none"/>
        </w:tabs>
        <w:spacing w:lineRule="auto" w:line="240" w:before="0" w:after="0"/>
        <w:ind w:left="5663" w:hanging="0"/>
        <w:rPr>
          <w:rFonts w:ascii="Times New Roman" w:hAnsi="Times New Roman" w:cs="Mangal"/>
          <w:sz w:val="24"/>
          <w:szCs w:val="24"/>
          <w:lang w:bidi="hi-IN"/>
        </w:rPr>
      </w:pPr>
      <w:r>
        <w:rPr>
          <w:rFonts w:cs="Mangal" w:ascii="Times New Roman" w:hAnsi="Times New Roman"/>
          <w:sz w:val="24"/>
          <w:szCs w:val="24"/>
          <w:lang w:bidi="hi-IN"/>
        </w:rPr>
      </w:r>
    </w:p>
    <w:p>
      <w:pPr>
        <w:pStyle w:val="Normal"/>
        <w:tabs>
          <w:tab w:val="clear" w:pos="708"/>
          <w:tab w:val="left" w:pos="141" w:leader="none"/>
        </w:tabs>
        <w:spacing w:lineRule="auto" w:line="240" w:before="0" w:after="0"/>
        <w:ind w:left="5663" w:hanging="0"/>
        <w:rPr>
          <w:rFonts w:ascii="Times New Roman" w:hAnsi="Times New Roman" w:cs="Mangal"/>
          <w:sz w:val="24"/>
          <w:szCs w:val="24"/>
          <w:lang w:val="uk-UA" w:bidi="hi-IN"/>
        </w:rPr>
      </w:pPr>
      <w:r>
        <w:rPr>
          <w:rFonts w:cs="Mangal" w:ascii="Times New Roman" w:hAnsi="Times New Roman"/>
          <w:sz w:val="24"/>
          <w:szCs w:val="24"/>
          <w:lang w:val="uk-UA" w:bidi="hi-IN"/>
        </w:rPr>
      </w:r>
    </w:p>
    <w:p>
      <w:pPr>
        <w:pStyle w:val="NoSpacing"/>
        <w:jc w:val="center"/>
        <w:rPr>
          <w:b/>
          <w:b/>
          <w:bCs/>
        </w:rPr>
      </w:pPr>
      <w:r>
        <w:rPr>
          <w:rFonts w:ascii="Times New Roman" w:hAnsi="Times New Roman"/>
          <w:b/>
          <w:bCs/>
          <w:sz w:val="24"/>
          <w:szCs w:val="24"/>
        </w:rPr>
        <w:t>Комерційна пропозиція «Універсальна»</w:t>
      </w:r>
    </w:p>
    <w:p>
      <w:pPr>
        <w:pStyle w:val="NoSpacing"/>
        <w:jc w:val="center"/>
        <w:rPr>
          <w:rFonts w:ascii="Times New Roman" w:hAnsi="Times New Roman"/>
          <w:b/>
          <w:b/>
          <w:bCs/>
          <w:sz w:val="24"/>
          <w:szCs w:val="24"/>
        </w:rPr>
      </w:pPr>
      <w:r>
        <w:rPr>
          <w:rFonts w:ascii="Times New Roman" w:hAnsi="Times New Roman"/>
          <w:b/>
          <w:bCs/>
          <w:sz w:val="24"/>
          <w:szCs w:val="24"/>
        </w:rPr>
        <w:t xml:space="preserve">про постачання електричної енергії постачальником універсальних послуг ТОВ «Запоріжжяелектропостачання» </w:t>
      </w:r>
    </w:p>
    <w:p>
      <w:pPr>
        <w:pStyle w:val="NoSpacing"/>
        <w:jc w:val="center"/>
        <w:rPr>
          <w:rFonts w:ascii="Times New Roman" w:hAnsi="Times New Roman"/>
          <w:b/>
          <w:b/>
          <w:bCs/>
          <w:lang w:val="ru"/>
        </w:rPr>
      </w:pPr>
      <w:r>
        <w:rPr>
          <w:rFonts w:ascii="Times New Roman" w:hAnsi="Times New Roman"/>
          <w:b/>
          <w:bCs/>
          <w:sz w:val="24"/>
          <w:szCs w:val="24"/>
          <w:lang w:val="uk-UA"/>
        </w:rPr>
        <w:t>юридичним особам та фізичним особам-підприємцям</w:t>
      </w:r>
      <w:r>
        <w:rPr>
          <w:rFonts w:ascii="Times New Roman" w:hAnsi="Times New Roman"/>
          <w:b/>
          <w:bCs/>
          <w:lang w:val="ru"/>
        </w:rPr>
        <w:t xml:space="preserve"> </w:t>
      </w:r>
      <w:r>
        <w:rPr>
          <w:rFonts w:cs="Times New Roman" w:ascii="Times New Roman" w:hAnsi="Times New Roman"/>
          <w:b/>
          <w:bCs/>
          <w:color w:val="auto"/>
          <w:sz w:val="24"/>
          <w:szCs w:val="24"/>
          <w:lang w:val="ru"/>
        </w:rPr>
        <w:t>на період воєного стану</w:t>
      </w:r>
    </w:p>
    <w:p>
      <w:pPr>
        <w:pStyle w:val="NoSpacing"/>
        <w:jc w:val="center"/>
        <w:rPr>
          <w:rFonts w:ascii="Times New Roman" w:hAnsi="Times New Roman"/>
          <w:lang w:val="ru"/>
        </w:rPr>
      </w:pPr>
      <w:r>
        <w:rPr>
          <w:rFonts w:ascii="Times New Roman" w:hAnsi="Times New Roman"/>
          <w:lang w:val="ru"/>
        </w:rPr>
      </w:r>
    </w:p>
    <w:p>
      <w:pPr>
        <w:pStyle w:val="NoSpacing"/>
        <w:ind w:left="0" w:firstLine="878"/>
        <w:jc w:val="both"/>
        <w:rPr>
          <w:rFonts w:ascii="Times New Roman" w:hAnsi="Times New Roman" w:eastAsia="Arial" w:cs="Times New Roman"/>
          <w:b w:val="false"/>
          <w:b w:val="false"/>
          <w:bCs w:val="false"/>
          <w:sz w:val="24"/>
          <w:szCs w:val="24"/>
          <w:lang w:val="ru"/>
        </w:rPr>
      </w:pPr>
      <w:r>
        <w:rPr>
          <w:rStyle w:val="Style18"/>
          <w:rFonts w:eastAsia="SimSun" w:cs="Times New Roman" w:ascii="Times New Roman" w:hAnsi="Times New Roman"/>
          <w:b w:val="false"/>
          <w:bCs w:val="false"/>
          <w:i w:val="false"/>
          <w:iCs w:val="false"/>
          <w:caps w:val="false"/>
          <w:smallCaps w:val="false"/>
          <w:strike w:val="false"/>
          <w:dstrike w:val="false"/>
          <w:color w:val="auto"/>
          <w:spacing w:val="0"/>
          <w:kern w:val="0"/>
          <w:sz w:val="24"/>
          <w:szCs w:val="24"/>
          <w:u w:val="none"/>
          <w:lang w:val="ru" w:eastAsia="zh-CN" w:bidi="ar"/>
        </w:rPr>
        <w:t xml:space="preserve">Дана комерційна пропозиція розроблена відповідно до вимог Закону України “Про ринок електричної енергії”, Правил роздрібного ринку електричної енергії та з врахуванням положень </w:t>
      </w:r>
      <w:r>
        <w:rPr>
          <w:rStyle w:val="Style18"/>
          <w:rFonts w:eastAsia="SimSun" w:cs="Times New Roman" w:ascii="Times New Roman" w:hAnsi="Times New Roman"/>
          <w:b w:val="false"/>
          <w:bCs w:val="false"/>
          <w:i w:val="false"/>
          <w:iCs w:val="false"/>
          <w:caps w:val="false"/>
          <w:smallCaps w:val="false"/>
          <w:strike w:val="false"/>
          <w:dstrike w:val="false"/>
          <w:color w:val="auto"/>
          <w:spacing w:val="0"/>
          <w:kern w:val="0"/>
          <w:sz w:val="24"/>
          <w:szCs w:val="24"/>
          <w:u w:val="none"/>
          <w:lang w:val="en-US" w:eastAsia="zh-CN" w:bidi="ar"/>
        </w:rPr>
        <w:t>наказ</w:t>
      </w:r>
      <w:r>
        <w:rPr>
          <w:rStyle w:val="Style18"/>
          <w:rFonts w:eastAsia="SimSun" w:cs="Times New Roman" w:ascii="Times New Roman" w:hAnsi="Times New Roman"/>
          <w:b w:val="false"/>
          <w:bCs w:val="false"/>
          <w:i w:val="false"/>
          <w:iCs w:val="false"/>
          <w:caps w:val="false"/>
          <w:smallCaps w:val="false"/>
          <w:strike w:val="false"/>
          <w:dstrike w:val="false"/>
          <w:color w:val="auto"/>
          <w:spacing w:val="0"/>
          <w:kern w:val="0"/>
          <w:sz w:val="24"/>
          <w:szCs w:val="24"/>
          <w:u w:val="none"/>
          <w:lang w:val="ru" w:eastAsia="zh-CN" w:bidi="ar"/>
        </w:rPr>
        <w:t>ів Міністерства енергетики Ук</w:t>
      </w:r>
      <w:bookmarkStart w:id="0" w:name="_GoBack"/>
      <w:bookmarkEnd w:id="0"/>
      <w:r>
        <w:rPr>
          <w:rStyle w:val="Style18"/>
          <w:rFonts w:eastAsia="SimSun" w:cs="Times New Roman" w:ascii="Times New Roman" w:hAnsi="Times New Roman"/>
          <w:b w:val="false"/>
          <w:bCs w:val="false"/>
          <w:i w:val="false"/>
          <w:iCs w:val="false"/>
          <w:caps w:val="false"/>
          <w:smallCaps w:val="false"/>
          <w:strike w:val="false"/>
          <w:dstrike w:val="false"/>
          <w:color w:val="auto"/>
          <w:spacing w:val="0"/>
          <w:kern w:val="0"/>
          <w:sz w:val="24"/>
          <w:szCs w:val="24"/>
          <w:u w:val="none"/>
          <w:lang w:val="ru" w:eastAsia="zh-CN" w:bidi="ar"/>
        </w:rPr>
        <w:t>раїни</w:t>
      </w:r>
      <w:r>
        <w:rPr>
          <w:rStyle w:val="Style18"/>
          <w:rFonts w:eastAsia="SimSun" w:cs="Times New Roman" w:ascii="Times New Roman" w:hAnsi="Times New Roman"/>
          <w:b w:val="false"/>
          <w:bCs w:val="false"/>
          <w:i w:val="false"/>
          <w:iCs w:val="false"/>
          <w:caps w:val="false"/>
          <w:smallCaps w:val="false"/>
          <w:strike w:val="false"/>
          <w:dstrike w:val="false"/>
          <w:color w:val="auto"/>
          <w:spacing w:val="0"/>
          <w:kern w:val="0"/>
          <w:sz w:val="24"/>
          <w:szCs w:val="24"/>
          <w:u w:val="none"/>
          <w:lang w:val="en-US" w:eastAsia="zh-CN" w:bidi="ar"/>
        </w:rPr>
        <w:t xml:space="preserve"> № </w:t>
      </w:r>
      <w:r>
        <w:rPr>
          <w:rStyle w:val="Style18"/>
          <w:rFonts w:eastAsia="SimSun" w:cs="Times New Roman" w:ascii="Times New Roman" w:hAnsi="Times New Roman"/>
          <w:b w:val="false"/>
          <w:bCs w:val="false"/>
          <w:i w:val="false"/>
          <w:iCs w:val="false"/>
          <w:caps w:val="false"/>
          <w:smallCaps w:val="false"/>
          <w:strike w:val="false"/>
          <w:dstrike w:val="false"/>
          <w:color w:val="auto"/>
          <w:spacing w:val="0"/>
          <w:kern w:val="0"/>
          <w:sz w:val="24"/>
          <w:szCs w:val="24"/>
          <w:u w:val="none"/>
          <w:lang w:val="ru" w:eastAsia="zh-CN" w:bidi="ar"/>
        </w:rPr>
        <w:t xml:space="preserve">104 від 04.03.2022 та № </w:t>
      </w:r>
      <w:r>
        <w:rPr>
          <w:rStyle w:val="Style18"/>
          <w:rFonts w:eastAsia="SimSun" w:cs="Times New Roman" w:ascii="Times New Roman" w:hAnsi="Times New Roman"/>
          <w:b w:val="false"/>
          <w:bCs w:val="false"/>
          <w:i w:val="false"/>
          <w:iCs w:val="false"/>
          <w:caps w:val="false"/>
          <w:smallCaps w:val="false"/>
          <w:strike w:val="false"/>
          <w:dstrike w:val="false"/>
          <w:color w:val="auto"/>
          <w:spacing w:val="0"/>
          <w:kern w:val="0"/>
          <w:sz w:val="24"/>
          <w:szCs w:val="24"/>
          <w:u w:val="none"/>
          <w:lang w:val="en-US" w:eastAsia="zh-CN" w:bidi="ar"/>
        </w:rPr>
        <w:t xml:space="preserve">148 від 13.04.2022 </w:t>
      </w:r>
      <w:r>
        <w:rPr>
          <w:rFonts w:ascii="Times New Roman" w:hAnsi="Times New Roman"/>
          <w:sz w:val="24"/>
          <w:szCs w:val="24"/>
        </w:rPr>
        <w:t xml:space="preserve">на період дії воєнного стану, </w:t>
      </w:r>
      <w:r>
        <w:rPr>
          <w:rFonts w:eastAsia="Arial" w:cs="Times New Roman" w:ascii="Times New Roman" w:hAnsi="Times New Roman"/>
          <w:b w:val="false"/>
          <w:bCs w:val="false"/>
          <w:sz w:val="24"/>
          <w:szCs w:val="24"/>
          <w:lang w:val="ru"/>
        </w:rPr>
        <w:t>введеного</w:t>
      </w:r>
      <w:r>
        <w:rPr>
          <w:rFonts w:eastAsia="Arial" w:cs="Times New Roman" w:ascii="Times New Roman" w:hAnsi="Times New Roman"/>
          <w:b w:val="false"/>
          <w:bCs w:val="false"/>
          <w:sz w:val="24"/>
          <w:szCs w:val="24"/>
          <w:lang w:val="uk-UA"/>
        </w:rPr>
        <w:t xml:space="preserve"> Указом Президента України від 24.02.2022 № 64 </w:t>
      </w:r>
      <w:r>
        <w:rPr>
          <w:rFonts w:eastAsia="Arial" w:cs="Times New Roman" w:ascii="Times New Roman" w:hAnsi="Times New Roman"/>
          <w:b w:val="false"/>
          <w:bCs w:val="false"/>
          <w:sz w:val="24"/>
          <w:szCs w:val="24"/>
          <w:lang w:val="ru"/>
        </w:rPr>
        <w:t>“</w:t>
      </w:r>
      <w:r>
        <w:rPr>
          <w:rFonts w:eastAsia="Arial" w:cs="Times New Roman" w:ascii="Times New Roman" w:hAnsi="Times New Roman"/>
          <w:b w:val="false"/>
          <w:bCs w:val="false"/>
          <w:sz w:val="24"/>
          <w:szCs w:val="24"/>
          <w:lang w:val="uk-UA"/>
        </w:rPr>
        <w:t>Про введення воєнного стану в Україні</w:t>
      </w:r>
      <w:r>
        <w:rPr>
          <w:rFonts w:eastAsia="Arial" w:cs="Times New Roman" w:ascii="Times New Roman" w:hAnsi="Times New Roman"/>
          <w:b w:val="false"/>
          <w:bCs w:val="false"/>
          <w:sz w:val="24"/>
          <w:szCs w:val="24"/>
          <w:lang w:val="ru"/>
        </w:rPr>
        <w:t>”.</w:t>
      </w:r>
    </w:p>
    <w:p>
      <w:pPr>
        <w:pStyle w:val="NoSpacing"/>
        <w:ind w:left="0" w:firstLine="878"/>
        <w:jc w:val="both"/>
        <w:rPr/>
      </w:pPr>
      <w:r>
        <w:rPr>
          <w:rFonts w:ascii="Times New Roman" w:hAnsi="Times New Roman"/>
          <w:sz w:val="24"/>
          <w:szCs w:val="24"/>
        </w:rPr>
        <w:t xml:space="preserve"> </w:t>
      </w:r>
    </w:p>
    <w:tbl>
      <w:tblPr>
        <w:tblStyle w:val="3"/>
        <w:tblW w:w="9497" w:type="dxa"/>
        <w:jc w:val="left"/>
        <w:tblInd w:w="36" w:type="dxa"/>
        <w:tblCellMar>
          <w:top w:w="0" w:type="dxa"/>
          <w:left w:w="36" w:type="dxa"/>
          <w:bottom w:w="0" w:type="dxa"/>
          <w:right w:w="36" w:type="dxa"/>
        </w:tblCellMar>
      </w:tblPr>
      <w:tblGrid>
        <w:gridCol w:w="2370"/>
        <w:gridCol w:w="7126"/>
      </w:tblGrid>
      <w:tr>
        <w:trPr/>
        <w:tc>
          <w:tcPr>
            <w:tcW w:w="2370" w:type="dxa"/>
            <w:tcBorders>
              <w:top w:val="single" w:sz="4" w:space="0" w:color="000000"/>
              <w:left w:val="single" w:sz="4" w:space="0" w:color="000000"/>
              <w:bottom w:val="single" w:sz="4" w:space="0" w:color="000000"/>
              <w:right w:val="single" w:sz="4" w:space="0" w:color="000000"/>
            </w:tcBorders>
            <w:shd w:color="auto" w:fill="auto" w:val="clear"/>
          </w:tcPr>
          <w:p>
            <w:pPr>
              <w:pStyle w:val="NoSpacing"/>
              <w:rPr>
                <w:rFonts w:ascii="Times New Roman" w:hAnsi="Times New Roman"/>
                <w:sz w:val="24"/>
                <w:szCs w:val="24"/>
                <w:lang w:val="ru-RU"/>
              </w:rPr>
            </w:pPr>
            <w:r>
              <w:rPr>
                <w:rFonts w:ascii="Times New Roman" w:hAnsi="Times New Roman"/>
                <w:b/>
                <w:sz w:val="24"/>
                <w:szCs w:val="24"/>
              </w:rPr>
              <w:t>1. Критерії, яким має відповідати особа, що обирає дану комерційну пропозицію</w:t>
            </w:r>
          </w:p>
        </w:tc>
        <w:tc>
          <w:tcPr>
            <w:tcW w:w="7126" w:type="dxa"/>
            <w:tcBorders>
              <w:top w:val="single" w:sz="4" w:space="0" w:color="000000"/>
              <w:left w:val="single" w:sz="4" w:space="0" w:color="000000"/>
              <w:bottom w:val="single" w:sz="4" w:space="0" w:color="000000"/>
              <w:right w:val="single" w:sz="4" w:space="0" w:color="000000"/>
            </w:tcBorders>
            <w:shd w:color="auto" w:fill="auto" w:val="clear"/>
          </w:tcPr>
          <w:p>
            <w:pPr>
              <w:pStyle w:val="NoSpacing"/>
              <w:numPr>
                <w:ilvl w:val="0"/>
                <w:numId w:val="1"/>
              </w:numPr>
              <w:ind w:left="714" w:hanging="357"/>
              <w:jc w:val="both"/>
              <w:rPr>
                <w:rFonts w:ascii="Times New Roman" w:hAnsi="Times New Roman"/>
                <w:color w:val="auto"/>
                <w:sz w:val="24"/>
              </w:rPr>
            </w:pPr>
            <w:r>
              <w:rPr>
                <w:rFonts w:eastAsia="Calibri" w:cs="Times New Roman" w:ascii="Times New Roman" w:hAnsi="Times New Roman"/>
                <w:b w:val="false"/>
                <w:i w:val="false"/>
                <w:caps w:val="false"/>
                <w:smallCaps w:val="false"/>
                <w:color w:val="auto"/>
                <w:spacing w:val="0"/>
                <w:kern w:val="0"/>
                <w:sz w:val="24"/>
                <w:szCs w:val="24"/>
                <w:lang w:val="uk-UA" w:eastAsia="en-US" w:bidi="ar-SA"/>
              </w:rPr>
              <w:t xml:space="preserve">споживачам гарантується постачання електричної енергії на умовах універсальної послуги, з урахуванням  Положення </w:t>
            </w:r>
            <w:r>
              <w:rPr>
                <w:rFonts w:ascii="Times New Roman" w:hAnsi="Times New Roman"/>
                <w:b w:val="false"/>
                <w:i w:val="false"/>
                <w:caps w:val="false"/>
                <w:smallCaps w:val="false"/>
                <w:color w:val="auto"/>
                <w:spacing w:val="0"/>
                <w:sz w:val="24"/>
                <w:szCs w:val="24"/>
              </w:rPr>
              <w:t>про особливості постачання електричної енергії споживачам та розрахунків між учасниками роздрібного ринку електричної енергії у період дії в Україні воєнного стану</w:t>
            </w:r>
            <w:r>
              <w:rPr>
                <w:rFonts w:eastAsia="Calibri" w:cs="Times New Roman" w:ascii="Times New Roman" w:hAnsi="Times New Roman"/>
                <w:b w:val="false"/>
                <w:i w:val="false"/>
                <w:caps w:val="false"/>
                <w:smallCaps w:val="false"/>
                <w:color w:val="auto"/>
                <w:spacing w:val="0"/>
                <w:kern w:val="0"/>
                <w:sz w:val="24"/>
                <w:szCs w:val="24"/>
                <w:lang w:val="uk-UA" w:eastAsia="en-US" w:bidi="ar-SA"/>
              </w:rPr>
              <w:t>, у разі припинення постачання електричної енергії попереднім постачальником на ринку електричної енергії внаслідок присвоєння постачальнику статусу «Дефолтний» або зупинення дії його ліцензії з постачання електричної енергії споживачу</w:t>
            </w:r>
            <w:r>
              <w:rPr>
                <w:rFonts w:eastAsia="Calibri" w:cs="Times New Roman" w:ascii="Times New Roman" w:hAnsi="Times New Roman"/>
                <w:color w:val="auto"/>
                <w:kern w:val="0"/>
                <w:sz w:val="24"/>
                <w:szCs w:val="24"/>
                <w:lang w:val="uk-UA" w:eastAsia="en-US" w:bidi="ar-SA"/>
              </w:rPr>
              <w:t xml:space="preserve">;  </w:t>
            </w:r>
          </w:p>
          <w:p>
            <w:pPr>
              <w:pStyle w:val="NoSpacing"/>
              <w:numPr>
                <w:ilvl w:val="0"/>
                <w:numId w:val="1"/>
              </w:numPr>
              <w:ind w:left="714" w:hanging="357"/>
              <w:jc w:val="both"/>
              <w:rPr>
                <w:rFonts w:ascii="Times New Roman" w:hAnsi="Times New Roman"/>
                <w:sz w:val="24"/>
                <w:szCs w:val="24"/>
              </w:rPr>
            </w:pPr>
            <w:r>
              <w:rPr>
                <w:rFonts w:ascii="Times New Roman" w:hAnsi="Times New Roman"/>
                <w:sz w:val="24"/>
                <w:szCs w:val="24"/>
              </w:rPr>
              <w:t xml:space="preserve">наявний облік електричної енергії забезпечує можливість застосування цін (тарифів), передбачених даною комерційною пропозицією; </w:t>
            </w:r>
          </w:p>
          <w:p>
            <w:pPr>
              <w:pStyle w:val="NoSpacing"/>
              <w:numPr>
                <w:ilvl w:val="0"/>
                <w:numId w:val="1"/>
              </w:numPr>
              <w:ind w:left="714" w:hanging="357"/>
              <w:jc w:val="both"/>
              <w:rPr/>
            </w:pPr>
            <w:r>
              <w:rPr>
                <w:rFonts w:ascii="Times New Roman" w:hAnsi="Times New Roman"/>
                <w:sz w:val="24"/>
                <w:szCs w:val="24"/>
              </w:rPr>
              <w:t xml:space="preserve">споживач приєднався до умов договору споживача про надання послуг з розподілу /передачі електричної енергії; </w:t>
            </w:r>
          </w:p>
          <w:p>
            <w:pPr>
              <w:pStyle w:val="NoSpacing"/>
              <w:numPr>
                <w:ilvl w:val="0"/>
                <w:numId w:val="1"/>
              </w:numPr>
              <w:ind w:left="714" w:hanging="357"/>
              <w:jc w:val="both"/>
              <w:rPr/>
            </w:pPr>
            <w:r>
              <w:rPr>
                <w:rFonts w:ascii="Times New Roman" w:hAnsi="Times New Roman"/>
                <w:sz w:val="24"/>
                <w:szCs w:val="24"/>
              </w:rPr>
              <w:t>перехід прав та обов’язків до нового власника (користувача) об’єкта за договорами, укладеними відповідно до Правил роздрібного ринку електричної енергії, не потребує додаткових узгоджень.</w:t>
            </w:r>
          </w:p>
        </w:tc>
      </w:tr>
      <w:tr>
        <w:trPr/>
        <w:tc>
          <w:tcPr>
            <w:tcW w:w="2370" w:type="dxa"/>
            <w:tcBorders>
              <w:top w:val="single" w:sz="4" w:space="0" w:color="000000"/>
              <w:left w:val="single" w:sz="4" w:space="0" w:color="000000"/>
              <w:bottom w:val="single" w:sz="4" w:space="0" w:color="000000"/>
              <w:right w:val="single" w:sz="4" w:space="0" w:color="000000"/>
            </w:tcBorders>
            <w:shd w:color="auto" w:fill="auto" w:val="clear"/>
          </w:tcPr>
          <w:p>
            <w:pPr>
              <w:pStyle w:val="NoSpacing"/>
              <w:rPr>
                <w:rFonts w:ascii="Times New Roman" w:hAnsi="Times New Roman"/>
                <w:sz w:val="24"/>
                <w:szCs w:val="24"/>
                <w:lang w:val="ru-RU"/>
              </w:rPr>
            </w:pPr>
            <w:r>
              <w:rPr>
                <w:rFonts w:ascii="Times New Roman" w:hAnsi="Times New Roman"/>
                <w:b/>
                <w:sz w:val="24"/>
                <w:szCs w:val="24"/>
              </w:rPr>
              <w:t>2. Територія надання послуги</w:t>
            </w:r>
          </w:p>
        </w:tc>
        <w:tc>
          <w:tcPr>
            <w:tcW w:w="7126" w:type="dxa"/>
            <w:tcBorders>
              <w:top w:val="single" w:sz="4" w:space="0" w:color="000000"/>
              <w:left w:val="single" w:sz="4" w:space="0" w:color="000000"/>
              <w:bottom w:val="single" w:sz="4" w:space="0" w:color="000000"/>
              <w:right w:val="single" w:sz="4" w:space="0" w:color="000000"/>
            </w:tcBorders>
            <w:shd w:color="auto" w:fill="auto" w:val="clear"/>
          </w:tcPr>
          <w:p>
            <w:pPr>
              <w:pStyle w:val="NoSpacing"/>
              <w:ind w:firstLine="424"/>
              <w:rPr>
                <w:rFonts w:ascii="Times New Roman" w:hAnsi="Times New Roman"/>
                <w:sz w:val="24"/>
                <w:szCs w:val="24"/>
              </w:rPr>
            </w:pPr>
            <w:r>
              <w:rPr>
                <w:rFonts w:ascii="Times New Roman" w:hAnsi="Times New Roman"/>
                <w:sz w:val="24"/>
                <w:szCs w:val="24"/>
              </w:rPr>
              <w:t xml:space="preserve">Послуга надається в межах Запорізької області електричних мереж операторів системи розподілу: </w:t>
            </w:r>
          </w:p>
          <w:p>
            <w:pPr>
              <w:pStyle w:val="NoSpacing"/>
              <w:numPr>
                <w:ilvl w:val="0"/>
                <w:numId w:val="1"/>
              </w:numPr>
              <w:ind w:left="714" w:hanging="357"/>
              <w:rPr>
                <w:rFonts w:ascii="Times New Roman" w:hAnsi="Times New Roman"/>
                <w:sz w:val="24"/>
                <w:szCs w:val="24"/>
              </w:rPr>
            </w:pPr>
            <w:r>
              <w:rPr>
                <w:rFonts w:ascii="Times New Roman" w:hAnsi="Times New Roman"/>
                <w:sz w:val="24"/>
                <w:szCs w:val="24"/>
              </w:rPr>
              <w:t xml:space="preserve">ПАТ «Запоріжжяобленерго»; </w:t>
            </w:r>
          </w:p>
          <w:p>
            <w:pPr>
              <w:pStyle w:val="NoSpacing"/>
              <w:numPr>
                <w:ilvl w:val="0"/>
                <w:numId w:val="1"/>
              </w:numPr>
              <w:ind w:left="714" w:hanging="357"/>
              <w:rPr>
                <w:rFonts w:ascii="Times New Roman" w:hAnsi="Times New Roman"/>
                <w:sz w:val="24"/>
                <w:szCs w:val="24"/>
              </w:rPr>
            </w:pPr>
            <w:r>
              <w:rPr>
                <w:rFonts w:ascii="Times New Roman" w:hAnsi="Times New Roman"/>
                <w:sz w:val="24"/>
                <w:szCs w:val="24"/>
              </w:rPr>
              <w:t>АТ «Укрзалізниця».</w:t>
            </w:r>
          </w:p>
        </w:tc>
      </w:tr>
      <w:tr>
        <w:trPr/>
        <w:tc>
          <w:tcPr>
            <w:tcW w:w="2370" w:type="dxa"/>
            <w:tcBorders>
              <w:top w:val="single" w:sz="4" w:space="0" w:color="000000"/>
              <w:left w:val="single" w:sz="4" w:space="0" w:color="000000"/>
              <w:bottom w:val="single" w:sz="4" w:space="0" w:color="000000"/>
              <w:right w:val="single" w:sz="4" w:space="0" w:color="000000"/>
            </w:tcBorders>
            <w:shd w:color="auto" w:fill="auto" w:val="clear"/>
          </w:tcPr>
          <w:p>
            <w:pPr>
              <w:pStyle w:val="NoSpacing"/>
              <w:rPr>
                <w:rFonts w:ascii="Times New Roman" w:hAnsi="Times New Roman"/>
                <w:sz w:val="24"/>
                <w:szCs w:val="24"/>
                <w:lang w:val="ru-RU"/>
              </w:rPr>
            </w:pPr>
            <w:r>
              <w:rPr>
                <w:rFonts w:ascii="Times New Roman" w:hAnsi="Times New Roman"/>
                <w:b/>
                <w:sz w:val="24"/>
                <w:szCs w:val="24"/>
              </w:rPr>
              <w:t>3. Ціна</w:t>
            </w:r>
          </w:p>
        </w:tc>
        <w:tc>
          <w:tcPr>
            <w:tcW w:w="712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ind w:firstLine="386"/>
              <w:jc w:val="both"/>
              <w:rPr/>
            </w:pPr>
            <w:r>
              <w:rPr>
                <w:rFonts w:cs="Mangal" w:ascii="Times New Roman" w:hAnsi="Times New Roman"/>
                <w:sz w:val="24"/>
                <w:szCs w:val="24"/>
                <w:lang w:val="uk-UA" w:bidi="hi-IN"/>
              </w:rPr>
              <w:t>Постачання електричної енергії здійснюється за регульованими цінами (тарифами) на електроенергію, які розраховуються у відповідності до методики (порядку) розрахунку ціни на електричну енергію, затвердженої Регулятором.</w:t>
            </w:r>
          </w:p>
          <w:p>
            <w:pPr>
              <w:pStyle w:val="Normal"/>
              <w:spacing w:lineRule="auto" w:line="240" w:before="0" w:after="0"/>
              <w:ind w:firstLine="386"/>
              <w:jc w:val="both"/>
              <w:rPr/>
            </w:pPr>
            <w:r>
              <w:rPr>
                <w:rFonts w:cs="Mangal" w:ascii="Times New Roman" w:hAnsi="Times New Roman"/>
                <w:sz w:val="24"/>
                <w:szCs w:val="24"/>
                <w:lang w:val="uk-UA" w:bidi="hi-IN"/>
              </w:rPr>
              <w:t>При зміні Регулятором тарифів/складових ціни на електричну енергію постачальника універсальних послуг, Постачальник застосовує при розрахунках нові тарифи/ціни з дати введення їх в дію Регулятором.</w:t>
            </w:r>
          </w:p>
          <w:p>
            <w:pPr>
              <w:pStyle w:val="Normal"/>
              <w:spacing w:lineRule="auto" w:line="240" w:before="0" w:after="0"/>
              <w:ind w:firstLine="386"/>
              <w:jc w:val="both"/>
              <w:rPr/>
            </w:pPr>
            <w:r>
              <w:rPr>
                <w:rFonts w:cs="Mangal" w:ascii="Times New Roman" w:hAnsi="Times New Roman"/>
                <w:sz w:val="24"/>
                <w:szCs w:val="24"/>
                <w:lang w:val="uk-UA" w:bidi="hi-IN"/>
              </w:rPr>
              <w:t>Інформація щодо розмірів та порядку застосування тарифів/цін постачальника універсальних послуг розміщуються на сайті Регулятора: www.nerc.gov.ua та на сайті Постачальника: www.zpep.com.ua.</w:t>
            </w:r>
          </w:p>
        </w:tc>
      </w:tr>
      <w:tr>
        <w:trPr/>
        <w:tc>
          <w:tcPr>
            <w:tcW w:w="2370" w:type="dxa"/>
            <w:tcBorders>
              <w:top w:val="single" w:sz="4" w:space="0" w:color="000000"/>
              <w:left w:val="single" w:sz="4" w:space="0" w:color="000000"/>
              <w:bottom w:val="single" w:sz="4" w:space="0" w:color="000000"/>
              <w:right w:val="single" w:sz="4" w:space="0" w:color="000000"/>
            </w:tcBorders>
            <w:shd w:color="auto" w:fill="auto" w:val="clear"/>
          </w:tcPr>
          <w:p>
            <w:pPr>
              <w:pStyle w:val="NoSpacing"/>
              <w:rPr>
                <w:rFonts w:ascii="Times New Roman" w:hAnsi="Times New Roman"/>
                <w:sz w:val="24"/>
                <w:szCs w:val="24"/>
                <w:lang w:val="ru-RU"/>
              </w:rPr>
            </w:pPr>
            <w:r>
              <w:rPr>
                <w:rFonts w:ascii="Times New Roman" w:hAnsi="Times New Roman"/>
                <w:b/>
                <w:sz w:val="24"/>
                <w:szCs w:val="24"/>
              </w:rPr>
              <w:t>4. Спосіб та термін оплати</w:t>
            </w:r>
          </w:p>
        </w:tc>
        <w:tc>
          <w:tcPr>
            <w:tcW w:w="712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120"/>
              <w:ind w:firstLine="386"/>
              <w:jc w:val="both"/>
              <w:rPr/>
            </w:pPr>
            <w:r>
              <w:rPr>
                <w:rFonts w:eastAsia="Times New Roman" w:cs="TimesNewRomanPSMT" w:ascii="Times New Roman" w:hAnsi="Times New Roman"/>
                <w:sz w:val="24"/>
                <w:szCs w:val="24"/>
                <w:lang w:val="uk-UA" w:eastAsia="ru-RU"/>
              </w:rPr>
              <w:t xml:space="preserve">Розрахунковий період для обсягу спожитої електричної енергії становить один місяць, а саме: з </w:t>
            </w:r>
            <w:r>
              <w:rPr>
                <w:rFonts w:eastAsia="Times New Roman" w:cs="Times New Roman" w:ascii="Times New Roman" w:hAnsi="Times New Roman"/>
                <w:sz w:val="24"/>
                <w:szCs w:val="24"/>
                <w:lang w:val="uk-UA" w:eastAsia="ru-RU"/>
              </w:rPr>
              <w:t xml:space="preserve">01 числа розрахункового місяця по останній день розрахункового місяця. </w:t>
            </w:r>
          </w:p>
          <w:p>
            <w:pPr>
              <w:pStyle w:val="ListParagraph"/>
              <w:spacing w:lineRule="auto" w:line="240" w:before="0" w:after="120"/>
              <w:ind w:left="0" w:firstLine="386"/>
              <w:contextualSpacing/>
              <w:jc w:val="both"/>
              <w:rPr/>
            </w:pPr>
            <w:r>
              <w:rPr>
                <w:rFonts w:eastAsia="Times New Roman" w:cs="Times New Roman" w:ascii="Times New Roman" w:hAnsi="Times New Roman"/>
                <w:sz w:val="24"/>
                <w:szCs w:val="24"/>
                <w:lang w:val="uk-UA" w:eastAsia="ru-RU"/>
              </w:rPr>
              <w:t xml:space="preserve">100% попередня оплата </w:t>
            </w:r>
            <w:r>
              <w:rPr>
                <w:rFonts w:cs="Times New Roman" w:ascii="Times New Roman" w:hAnsi="Times New Roman"/>
                <w:sz w:val="24"/>
                <w:szCs w:val="24"/>
                <w:lang w:val="uk-UA"/>
              </w:rPr>
              <w:t xml:space="preserve">здійснюється </w:t>
            </w:r>
            <w:r>
              <w:rPr>
                <w:rFonts w:eastAsia="Times New Roman" w:cs="Times New Roman" w:ascii="Times New Roman" w:hAnsi="Times New Roman"/>
                <w:sz w:val="24"/>
                <w:szCs w:val="24"/>
                <w:lang w:val="uk-UA" w:eastAsia="ru-RU"/>
              </w:rPr>
              <w:t>не пізніше ніж за 5 календарних днів до дати початку розрахункового періоду з наступним перерахунком (остаточним розрахунком), що проводиться за фактично відпущену електричну енергію.</w:t>
            </w:r>
          </w:p>
          <w:p>
            <w:pPr>
              <w:pStyle w:val="ListParagraph"/>
              <w:spacing w:lineRule="auto" w:line="240" w:before="0" w:after="120"/>
              <w:ind w:left="0" w:firstLine="386"/>
              <w:contextualSpacing/>
              <w:jc w:val="both"/>
              <w:rPr/>
            </w:pPr>
            <w:r>
              <w:rPr>
                <w:rFonts w:cs="Times New Roman" w:ascii="Times New Roman" w:hAnsi="Times New Roman"/>
                <w:sz w:val="24"/>
                <w:szCs w:val="24"/>
                <w:lang w:val="uk-UA"/>
              </w:rPr>
              <w:t xml:space="preserve">Остаточний розрахунок має здійснюватися не пізніше 5 (п’яти) робочих днів після закінчення розрахункового періоду </w:t>
            </w:r>
            <w:r>
              <w:rPr>
                <w:rFonts w:eastAsia="Times New Roman" w:cs="Times New Roman" w:ascii="Times New Roman" w:hAnsi="Times New Roman"/>
                <w:sz w:val="24"/>
                <w:szCs w:val="24"/>
                <w:lang w:val="uk-UA"/>
              </w:rPr>
              <w:t>на підставі самостійно отриманого Споживачем у Постачальника рахунка</w:t>
            </w:r>
            <w:r>
              <w:rPr>
                <w:rFonts w:cs="Times New Roman" w:ascii="Times New Roman" w:hAnsi="Times New Roman"/>
                <w:sz w:val="24"/>
                <w:szCs w:val="24"/>
                <w:lang w:val="uk-UA"/>
              </w:rPr>
              <w:t>.</w:t>
            </w:r>
          </w:p>
          <w:p>
            <w:pPr>
              <w:pStyle w:val="Normal"/>
              <w:spacing w:lineRule="auto" w:line="240" w:before="0" w:after="120"/>
              <w:ind w:firstLine="386"/>
              <w:jc w:val="both"/>
              <w:rPr/>
            </w:pPr>
            <w:r>
              <w:rPr>
                <w:rFonts w:eastAsia="Times New Roman" w:cs="TimesNewRomanPSMT" w:ascii="Times New Roman" w:hAnsi="Times New Roman"/>
                <w:sz w:val="24"/>
                <w:szCs w:val="24"/>
                <w:lang w:val="uk-UA" w:eastAsia="ru-RU"/>
              </w:rPr>
              <w:t>Обсяги попередньої оплати визначаються шляхом множення замовленого обсягу постачання електричної енергії на ціну універсальної послуги у відповідному розрахунковому періоді та підлягають оплаті незалежно від отримання рахунку Постачальника</w:t>
            </w:r>
            <w:r>
              <w:rPr>
                <w:rFonts w:eastAsia="Times New Roman" w:cs="TimesNewRomanPSMT" w:ascii="TimesNewRomanPSMT" w:hAnsi="TimesNewRomanPSMT"/>
                <w:sz w:val="24"/>
                <w:szCs w:val="24"/>
                <w:lang w:val="uk-UA" w:eastAsia="ru-RU"/>
              </w:rPr>
              <w:t>.</w:t>
            </w:r>
          </w:p>
          <w:p>
            <w:pPr>
              <w:pStyle w:val="NormalWeb"/>
              <w:spacing w:lineRule="auto" w:line="240" w:beforeAutospacing="0" w:before="0" w:afterAutospacing="0" w:after="120"/>
              <w:ind w:firstLine="567"/>
              <w:jc w:val="both"/>
              <w:rPr/>
            </w:pPr>
            <w:r>
              <w:rPr>
                <w:lang w:val="uk-UA"/>
              </w:rPr>
              <w:t>У разі неодержання рахунку, Споживач самостійно оформляє платіжні документи та здійснює оплату на їх підставі у строки передбачені умовами даного розділу.</w:t>
            </w:r>
          </w:p>
          <w:p>
            <w:pPr>
              <w:pStyle w:val="NormalWeb"/>
              <w:spacing w:lineRule="auto" w:line="240" w:beforeAutospacing="0" w:before="0" w:afterAutospacing="0" w:after="120"/>
              <w:ind w:firstLine="567"/>
              <w:jc w:val="both"/>
              <w:rPr>
                <w:color w:val="auto"/>
              </w:rPr>
            </w:pPr>
            <w:r>
              <w:rPr>
                <w:rFonts w:eastAsia="Times New Roman"/>
                <w:lang w:val="uk-UA"/>
              </w:rPr>
              <w:t>Порушення строків оплати, передбачених даною комерційною пропозицією, є підставою для направлення вимоги Постачальника про з</w:t>
            </w:r>
            <w:r>
              <w:rPr>
                <w:rFonts w:eastAsia="Times New Roman"/>
                <w:color w:val="auto"/>
                <w:lang w:val="uk-UA"/>
              </w:rPr>
              <w:t>абезпечення виконання зобов’язання.</w:t>
            </w:r>
          </w:p>
          <w:p>
            <w:pPr>
              <w:pStyle w:val="NormalWeb"/>
              <w:spacing w:lineRule="auto" w:line="240" w:beforeAutospacing="0" w:before="0" w:afterAutospacing="0" w:after="120"/>
              <w:ind w:firstLine="567"/>
              <w:jc w:val="both"/>
              <w:rPr>
                <w:color w:val="auto"/>
              </w:rPr>
            </w:pPr>
            <w:r>
              <w:rPr>
                <w:rFonts w:cs="Segoe UI"/>
                <w:color w:val="auto"/>
                <w:lang w:val="uk-UA"/>
              </w:rPr>
              <w:t>Якщо споживач не оплатив виставлений платіжний документ або оплатив його із запізненням або якщо він перебуває у стані ліквідації чи реорганізації та, згідно з планом реорганізації, готується до ліквідації, Постачальник має право встановити більш короткий розрахунковий період або звернутися з вимогою щодо надання гарантій належного виконання договірних зобов’язань, а Споживач має задовольнити таку вимогу.</w:t>
            </w:r>
          </w:p>
          <w:p>
            <w:pPr>
              <w:pStyle w:val="Normal"/>
              <w:spacing w:lineRule="auto" w:line="240" w:before="0" w:after="120"/>
              <w:ind w:firstLine="386"/>
              <w:jc w:val="both"/>
              <w:rPr/>
            </w:pPr>
            <w:r>
              <w:rPr>
                <w:rFonts w:eastAsia="Times New Roman" w:cs="TimesNewRomanPSMT" w:ascii="Times New Roman" w:hAnsi="Times New Roman"/>
                <w:sz w:val="24"/>
                <w:szCs w:val="24"/>
                <w:lang w:val="uk-UA" w:eastAsia="ru-RU"/>
              </w:rPr>
              <w:t>Юридична особа, яка створена шляхом об’єднання побутових споживачів, здійснює повну оплату вартості спожитої на побутові потреби електричної енергії шляхом остаточного розрахунку.</w:t>
            </w:r>
          </w:p>
          <w:p>
            <w:pPr>
              <w:pStyle w:val="Normal"/>
              <w:spacing w:lineRule="auto" w:line="240" w:before="0" w:after="120"/>
              <w:ind w:firstLine="386"/>
              <w:jc w:val="both"/>
              <w:rPr/>
            </w:pPr>
            <w:r>
              <w:rPr>
                <w:rFonts w:eastAsia="Times New Roman" w:cs="TimesNewRomanPSMT" w:ascii="Times New Roman" w:hAnsi="Times New Roman"/>
                <w:sz w:val="24"/>
                <w:szCs w:val="24"/>
                <w:lang w:val="uk-UA" w:eastAsia="ru-RU"/>
              </w:rPr>
              <w:t>Юридична особа, предметом діяльності якої є надання житлово-комунальних послуг населенню, у межах наданих населенню послуг здійснює повну оплату вартості електричної енергії шляхом остаточного розрахунку.</w:t>
            </w:r>
          </w:p>
          <w:p>
            <w:pPr>
              <w:pStyle w:val="Normal"/>
              <w:spacing w:lineRule="auto" w:line="240" w:before="0" w:after="120"/>
              <w:ind w:firstLine="386"/>
              <w:jc w:val="both"/>
              <w:rPr/>
            </w:pPr>
            <w:r>
              <w:rPr>
                <w:rFonts w:cs="Times New Roman" w:ascii="Times New Roman" w:hAnsi="Times New Roman"/>
                <w:sz w:val="24"/>
                <w:szCs w:val="24"/>
                <w:lang w:val="uk-UA"/>
              </w:rPr>
              <w:t>Оплата здійснюється на поточний рахунок із спеціальним режимом використання Постачальника (далі - спецрахунок), зазначений у Договорі або розрахункових документах.</w:t>
            </w:r>
          </w:p>
          <w:p>
            <w:pPr>
              <w:pStyle w:val="Normal"/>
              <w:spacing w:lineRule="auto" w:line="240" w:before="0" w:after="120"/>
              <w:ind w:firstLine="386"/>
              <w:jc w:val="both"/>
              <w:rPr/>
            </w:pPr>
            <w:r>
              <w:rPr>
                <w:rFonts w:cs="Times New Roman" w:ascii="Times New Roman" w:hAnsi="Times New Roman"/>
                <w:sz w:val="24"/>
                <w:szCs w:val="24"/>
                <w:lang w:val="uk-UA"/>
              </w:rPr>
              <w:t>Оплата може бути здійснена через:</w:t>
            </w:r>
          </w:p>
          <w:p>
            <w:pPr>
              <w:pStyle w:val="ListParagraph"/>
              <w:numPr>
                <w:ilvl w:val="0"/>
                <w:numId w:val="2"/>
              </w:numPr>
              <w:spacing w:lineRule="auto" w:line="240" w:before="0" w:after="120"/>
              <w:contextualSpacing/>
              <w:jc w:val="both"/>
              <w:rPr/>
            </w:pPr>
            <w:r>
              <w:rPr>
                <w:rFonts w:cs="Times New Roman" w:ascii="Times New Roman" w:hAnsi="Times New Roman"/>
                <w:sz w:val="24"/>
                <w:szCs w:val="24"/>
                <w:lang w:val="uk-UA"/>
              </w:rPr>
              <w:t xml:space="preserve">банківську платіжну систему; </w:t>
            </w:r>
          </w:p>
          <w:p>
            <w:pPr>
              <w:pStyle w:val="ListParagraph"/>
              <w:numPr>
                <w:ilvl w:val="0"/>
                <w:numId w:val="2"/>
              </w:numPr>
              <w:spacing w:lineRule="auto" w:line="240" w:before="0" w:after="120"/>
              <w:contextualSpacing/>
              <w:jc w:val="both"/>
              <w:rPr/>
            </w:pPr>
            <w:r>
              <w:rPr>
                <w:rFonts w:cs="Times New Roman" w:ascii="Times New Roman" w:hAnsi="Times New Roman"/>
                <w:sz w:val="24"/>
                <w:szCs w:val="24"/>
                <w:lang w:val="uk-UA"/>
              </w:rPr>
              <w:t xml:space="preserve">особистий кабінет на сайті Постачальника; </w:t>
            </w:r>
          </w:p>
          <w:p>
            <w:pPr>
              <w:pStyle w:val="ListParagraph"/>
              <w:numPr>
                <w:ilvl w:val="0"/>
                <w:numId w:val="2"/>
              </w:numPr>
              <w:spacing w:lineRule="auto" w:line="240" w:before="0" w:after="120"/>
              <w:contextualSpacing/>
              <w:jc w:val="both"/>
              <w:rPr/>
            </w:pPr>
            <w:r>
              <w:rPr>
                <w:rFonts w:cs="Times New Roman" w:ascii="Times New Roman" w:hAnsi="Times New Roman"/>
                <w:sz w:val="24"/>
                <w:szCs w:val="24"/>
                <w:lang w:val="uk-UA"/>
              </w:rPr>
              <w:t xml:space="preserve">поштовий переказ; </w:t>
            </w:r>
          </w:p>
          <w:p>
            <w:pPr>
              <w:pStyle w:val="ListParagraph"/>
              <w:numPr>
                <w:ilvl w:val="0"/>
                <w:numId w:val="2"/>
              </w:numPr>
              <w:spacing w:lineRule="auto" w:line="240" w:before="0" w:after="120"/>
              <w:contextualSpacing/>
              <w:jc w:val="both"/>
              <w:rPr/>
            </w:pPr>
            <w:r>
              <w:rPr>
                <w:rFonts w:cs="Times New Roman" w:ascii="Times New Roman" w:hAnsi="Times New Roman"/>
                <w:sz w:val="24"/>
                <w:szCs w:val="24"/>
                <w:lang w:val="uk-UA"/>
              </w:rPr>
              <w:t>в інший не заборонений чинним законодавством спосіб.</w:t>
            </w:r>
          </w:p>
          <w:p>
            <w:pPr>
              <w:pStyle w:val="Normal"/>
              <w:spacing w:lineRule="auto" w:line="240" w:before="0" w:after="120"/>
              <w:ind w:firstLine="371"/>
              <w:jc w:val="both"/>
              <w:rPr/>
            </w:pPr>
            <w:r>
              <w:rPr>
                <w:rFonts w:cs="Times New Roman" w:ascii="Times New Roman" w:hAnsi="Times New Roman"/>
                <w:sz w:val="24"/>
                <w:szCs w:val="24"/>
                <w:lang w:val="uk-UA"/>
              </w:rPr>
              <w:t>Датою оплати є дата надходження коштів на спецрахунок Постачальника.</w:t>
            </w:r>
          </w:p>
        </w:tc>
      </w:tr>
      <w:tr>
        <w:trPr/>
        <w:tc>
          <w:tcPr>
            <w:tcW w:w="2370" w:type="dxa"/>
            <w:tcBorders>
              <w:top w:val="single" w:sz="4" w:space="0" w:color="000000"/>
              <w:left w:val="single" w:sz="4" w:space="0" w:color="000000"/>
              <w:bottom w:val="single" w:sz="4" w:space="0" w:color="000000"/>
              <w:right w:val="single" w:sz="4" w:space="0" w:color="000000"/>
            </w:tcBorders>
            <w:shd w:color="auto" w:fill="auto" w:val="clear"/>
          </w:tcPr>
          <w:p>
            <w:pPr>
              <w:pStyle w:val="NoSpacing"/>
              <w:rPr>
                <w:rFonts w:ascii="Times New Roman" w:hAnsi="Times New Roman"/>
                <w:sz w:val="24"/>
                <w:szCs w:val="24"/>
                <w:lang w:val="ru-RU"/>
              </w:rPr>
            </w:pPr>
            <w:r>
              <w:rPr>
                <w:rFonts w:ascii="Times New Roman" w:hAnsi="Times New Roman"/>
                <w:b/>
                <w:sz w:val="24"/>
                <w:szCs w:val="24"/>
              </w:rPr>
              <w:t>5. Встановлення замовлених обсягів постачання електричної енергії</w:t>
            </w:r>
          </w:p>
        </w:tc>
        <w:tc>
          <w:tcPr>
            <w:tcW w:w="712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ind w:firstLine="352"/>
              <w:jc w:val="both"/>
              <w:rPr/>
            </w:pPr>
            <w:r>
              <w:rPr>
                <w:rFonts w:cs="Mangal" w:ascii="Times New Roman" w:hAnsi="Times New Roman"/>
                <w:sz w:val="24"/>
                <w:szCs w:val="24"/>
                <w:lang w:val="uk-UA" w:bidi="hi-IN"/>
              </w:rPr>
              <w:t>Споживач, одночасно із заявою-приєднання надає замовлені обсяги споживання електричної енергії з розбивкою по місяцям на календарний рік.</w:t>
            </w:r>
          </w:p>
          <w:p>
            <w:pPr>
              <w:pStyle w:val="Normal"/>
              <w:spacing w:lineRule="auto" w:line="240" w:before="0" w:after="0"/>
              <w:ind w:firstLine="352"/>
              <w:jc w:val="both"/>
              <w:rPr>
                <w:lang w:val="uk-UA"/>
              </w:rPr>
            </w:pPr>
            <w:r>
              <w:rPr>
                <w:rFonts w:cs="Mangal" w:ascii="Times New Roman" w:hAnsi="Times New Roman"/>
                <w:sz w:val="24"/>
                <w:szCs w:val="24"/>
                <w:lang w:val="uk-UA" w:bidi="hi-IN"/>
              </w:rPr>
              <w:t>Кожного року, але не пізніше 1 листопада, Споживач надає Постачальнику відомості щодо прогнозованого (очікуваного) обсягу споживання електричної енергії на наступний рік з розбивкою по місяцям, за формою  «Відомості про замовлені обсяги споживання».</w:t>
            </w:r>
          </w:p>
          <w:p>
            <w:pPr>
              <w:pStyle w:val="Normal"/>
              <w:spacing w:lineRule="auto" w:line="240" w:before="0" w:after="0"/>
              <w:ind w:firstLine="352"/>
              <w:jc w:val="both"/>
              <w:rPr>
                <w:lang w:val="uk-UA"/>
              </w:rPr>
            </w:pPr>
            <w:r>
              <w:rPr>
                <w:rFonts w:cs="Mangal" w:ascii="Times New Roman" w:hAnsi="Times New Roman"/>
                <w:color w:val="auto"/>
                <w:sz w:val="24"/>
                <w:szCs w:val="24"/>
                <w:lang w:val="uk-UA" w:bidi="hi-IN"/>
              </w:rPr>
              <w:t>В разі ненадання замовлених обсягів споживання електричної енергії, вони встановлюються на розрахунковий період на основі фактичних значень обсягу спожитої електричної енергії за відповідний розрахунковий період попереднього року. Якщо фактичне значення обсягу спожитої електричної енергії за відповідний розрахунковий період попереднього року дорівнює нулю, замовлений обсяг споживання електричної енергії визначається на основі фактичного обсягу спожитої електричної енергії у першому, наступному за відповідним, розрахунковому періоді попереднього року, споживання в якому більше нульового значення.</w:t>
            </w:r>
          </w:p>
        </w:tc>
      </w:tr>
      <w:tr>
        <w:trPr/>
        <w:tc>
          <w:tcPr>
            <w:tcW w:w="2370" w:type="dxa"/>
            <w:tcBorders>
              <w:top w:val="single" w:sz="4" w:space="0" w:color="000000"/>
              <w:left w:val="single" w:sz="4" w:space="0" w:color="000000"/>
              <w:bottom w:val="single" w:sz="4" w:space="0" w:color="000000"/>
              <w:right w:val="single" w:sz="4" w:space="0" w:color="000000"/>
            </w:tcBorders>
            <w:shd w:color="auto" w:fill="auto" w:val="clear"/>
          </w:tcPr>
          <w:p>
            <w:pPr>
              <w:pStyle w:val="NoSpacing"/>
              <w:rPr>
                <w:rFonts w:ascii="Times New Roman" w:hAnsi="Times New Roman"/>
                <w:sz w:val="24"/>
                <w:szCs w:val="24"/>
                <w:lang w:val="ru-RU"/>
              </w:rPr>
            </w:pPr>
            <w:r>
              <w:rPr>
                <w:rFonts w:ascii="Times New Roman" w:hAnsi="Times New Roman"/>
                <w:b/>
                <w:sz w:val="24"/>
                <w:szCs w:val="24"/>
              </w:rPr>
              <w:t>6. Оплата послуг з розподілу електричної енергії</w:t>
            </w:r>
          </w:p>
        </w:tc>
        <w:tc>
          <w:tcPr>
            <w:tcW w:w="712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ind w:firstLine="286"/>
              <w:jc w:val="both"/>
              <w:rPr>
                <w:rFonts w:ascii="Times New Roman" w:hAnsi="Times New Roman" w:cs="Mangal"/>
                <w:sz w:val="24"/>
                <w:szCs w:val="24"/>
                <w:lang w:val="uk-UA" w:bidi="hi-IN"/>
              </w:rPr>
            </w:pPr>
            <w:r>
              <w:rPr>
                <w:rFonts w:cs="Mangal" w:ascii="Times New Roman" w:hAnsi="Times New Roman"/>
                <w:sz w:val="24"/>
                <w:szCs w:val="24"/>
                <w:lang w:val="uk-UA" w:bidi="hi-IN"/>
              </w:rPr>
              <w:t xml:space="preserve">Споживач здійснює оплату послуг з розподілу електричної енергії через Постачальника в складі ціни універсальної послуги. </w:t>
            </w:r>
          </w:p>
        </w:tc>
      </w:tr>
      <w:tr>
        <w:trPr/>
        <w:tc>
          <w:tcPr>
            <w:tcW w:w="2370" w:type="dxa"/>
            <w:tcBorders>
              <w:top w:val="single" w:sz="4" w:space="0" w:color="000000"/>
              <w:left w:val="single" w:sz="4" w:space="0" w:color="000000"/>
              <w:bottom w:val="single" w:sz="4" w:space="0" w:color="000000"/>
              <w:right w:val="single" w:sz="4" w:space="0" w:color="000000"/>
            </w:tcBorders>
            <w:shd w:color="auto" w:fill="auto" w:val="clear"/>
          </w:tcPr>
          <w:p>
            <w:pPr>
              <w:pStyle w:val="NoSpacing"/>
              <w:rPr>
                <w:rFonts w:ascii="Times New Roman" w:hAnsi="Times New Roman"/>
                <w:b/>
                <w:b/>
                <w:sz w:val="24"/>
                <w:szCs w:val="24"/>
              </w:rPr>
            </w:pPr>
            <w:r>
              <w:rPr>
                <w:rFonts w:ascii="Times New Roman" w:hAnsi="Times New Roman"/>
                <w:b/>
                <w:sz w:val="24"/>
                <w:szCs w:val="24"/>
              </w:rPr>
              <w:t>7. Розмір пені за порушення строку оплати та/або штраф</w:t>
            </w:r>
          </w:p>
          <w:p>
            <w:pPr>
              <w:pStyle w:val="NoSpacing"/>
              <w:rPr>
                <w:rFonts w:ascii="Times New Roman" w:hAnsi="Times New Roman"/>
                <w:sz w:val="24"/>
                <w:szCs w:val="24"/>
                <w:lang w:val="ru-RU"/>
              </w:rPr>
            </w:pPr>
            <w:r>
              <w:rPr>
                <w:rFonts w:ascii="Times New Roman" w:hAnsi="Times New Roman"/>
                <w:sz w:val="24"/>
                <w:szCs w:val="24"/>
                <w:lang w:val="ru-RU"/>
              </w:rPr>
            </w:r>
          </w:p>
        </w:tc>
        <w:tc>
          <w:tcPr>
            <w:tcW w:w="712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ind w:firstLine="286"/>
              <w:jc w:val="both"/>
              <w:rPr/>
            </w:pPr>
            <w:r>
              <w:rPr>
                <w:rFonts w:cs="Mangal" w:ascii="Times New Roman" w:hAnsi="Times New Roman"/>
                <w:sz w:val="24"/>
                <w:szCs w:val="24"/>
                <w:lang w:val="uk-UA" w:bidi="hi-IN"/>
              </w:rPr>
              <w:t>За внесення платежів, передбачених умовами Договору, з порушенням термінів, визначених цією комерційною пропозицією, Споживач сплачує Постачальнику пеню у розмірі подвійної облікової ставки НБУ від суми заборгованості за кожний день прострочення платежу, враховуючи день фактичної оплати, нарахованої  протягом всього періоду прострочення зобов’язання, та  3% річних від суми боргу.</w:t>
            </w:r>
          </w:p>
          <w:p>
            <w:pPr>
              <w:pStyle w:val="Normal"/>
              <w:spacing w:lineRule="auto" w:line="240" w:before="0" w:after="0"/>
              <w:ind w:firstLine="371"/>
              <w:jc w:val="both"/>
              <w:rPr/>
            </w:pPr>
            <w:r>
              <w:rPr>
                <w:rFonts w:cs="Mangal" w:ascii="Times New Roman" w:hAnsi="Times New Roman"/>
                <w:sz w:val="24"/>
                <w:szCs w:val="24"/>
                <w:lang w:val="uk-UA" w:bidi="hi-IN"/>
              </w:rPr>
              <w:t>Суми пені, 3% річних, інфляційних зазначаються у розрахунковому документі окремим рядком, та повинні бути сплачені протягом 5 робочих днів від дня його отримання Споживачем.</w:t>
            </w:r>
          </w:p>
        </w:tc>
      </w:tr>
      <w:tr>
        <w:trPr/>
        <w:tc>
          <w:tcPr>
            <w:tcW w:w="2370" w:type="dxa"/>
            <w:tcBorders>
              <w:top w:val="single" w:sz="4" w:space="0" w:color="000000"/>
              <w:left w:val="single" w:sz="4" w:space="0" w:color="000000"/>
              <w:bottom w:val="single" w:sz="4" w:space="0" w:color="000000"/>
              <w:right w:val="single" w:sz="4" w:space="0" w:color="000000"/>
            </w:tcBorders>
            <w:shd w:color="auto" w:fill="auto" w:val="clear"/>
          </w:tcPr>
          <w:p>
            <w:pPr>
              <w:pStyle w:val="NoSpacing"/>
              <w:rPr>
                <w:rFonts w:ascii="Times New Roman" w:hAnsi="Times New Roman"/>
                <w:sz w:val="24"/>
                <w:szCs w:val="24"/>
                <w:lang w:val="ru-RU"/>
              </w:rPr>
            </w:pPr>
            <w:r>
              <w:rPr>
                <w:rFonts w:ascii="Times New Roman" w:hAnsi="Times New Roman"/>
                <w:b/>
                <w:sz w:val="24"/>
                <w:szCs w:val="24"/>
              </w:rPr>
              <w:t>8. Штраф за дострокове припинення дії договору</w:t>
            </w:r>
          </w:p>
        </w:tc>
        <w:tc>
          <w:tcPr>
            <w:tcW w:w="712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ind w:firstLine="286"/>
              <w:jc w:val="both"/>
              <w:rPr>
                <w:rFonts w:ascii="Times New Roman" w:hAnsi="Times New Roman" w:cs="Mangal"/>
                <w:sz w:val="24"/>
                <w:szCs w:val="24"/>
                <w:lang w:val="uk-UA" w:bidi="hi-IN"/>
              </w:rPr>
            </w:pPr>
            <w:r>
              <w:rPr>
                <w:rFonts w:cs="Mangal" w:ascii="Times New Roman" w:hAnsi="Times New Roman"/>
                <w:sz w:val="24"/>
                <w:szCs w:val="24"/>
                <w:lang w:val="uk-UA" w:bidi="hi-IN"/>
              </w:rPr>
              <w:t>Не застосовується.</w:t>
            </w:r>
          </w:p>
        </w:tc>
      </w:tr>
      <w:tr>
        <w:trPr/>
        <w:tc>
          <w:tcPr>
            <w:tcW w:w="2370" w:type="dxa"/>
            <w:tcBorders>
              <w:top w:val="single" w:sz="4" w:space="0" w:color="000000"/>
              <w:left w:val="single" w:sz="4" w:space="0" w:color="000000"/>
              <w:bottom w:val="single" w:sz="4" w:space="0" w:color="000000"/>
              <w:right w:val="single" w:sz="4" w:space="0" w:color="000000"/>
            </w:tcBorders>
            <w:shd w:color="auto" w:fill="auto" w:val="clear"/>
          </w:tcPr>
          <w:p>
            <w:pPr>
              <w:pStyle w:val="NoSpacing"/>
              <w:rPr>
                <w:rFonts w:ascii="Times New Roman" w:hAnsi="Times New Roman"/>
                <w:sz w:val="24"/>
                <w:szCs w:val="24"/>
                <w:lang w:val="ru-RU"/>
              </w:rPr>
            </w:pPr>
            <w:r>
              <w:rPr>
                <w:rFonts w:ascii="Times New Roman" w:hAnsi="Times New Roman"/>
                <w:b/>
                <w:sz w:val="24"/>
                <w:szCs w:val="24"/>
              </w:rPr>
              <w:t xml:space="preserve">9. Можливість надання пільг, субсидій </w:t>
            </w:r>
          </w:p>
        </w:tc>
        <w:tc>
          <w:tcPr>
            <w:tcW w:w="712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ind w:firstLine="286"/>
              <w:jc w:val="both"/>
              <w:rPr>
                <w:rFonts w:ascii="Times New Roman" w:hAnsi="Times New Roman" w:cs="Mangal"/>
                <w:sz w:val="24"/>
                <w:szCs w:val="24"/>
                <w:lang w:val="uk-UA" w:bidi="hi-IN"/>
              </w:rPr>
            </w:pPr>
            <w:r>
              <w:rPr>
                <w:rFonts w:cs="Mangal" w:ascii="Times New Roman" w:hAnsi="Times New Roman"/>
                <w:sz w:val="24"/>
                <w:szCs w:val="24"/>
                <w:lang w:val="uk-UA" w:bidi="hi-IN"/>
              </w:rPr>
              <w:t>Пільги, субсидії надаються у порядку та розмірі, визначеному чинним законодавством України.</w:t>
            </w:r>
          </w:p>
        </w:tc>
      </w:tr>
      <w:tr>
        <w:trPr/>
        <w:tc>
          <w:tcPr>
            <w:tcW w:w="2370" w:type="dxa"/>
            <w:tcBorders>
              <w:top w:val="single" w:sz="4" w:space="0" w:color="000000"/>
              <w:left w:val="single" w:sz="4" w:space="0" w:color="000000"/>
              <w:bottom w:val="single" w:sz="4" w:space="0" w:color="000000"/>
              <w:right w:val="single" w:sz="4" w:space="0" w:color="000000"/>
            </w:tcBorders>
            <w:shd w:color="auto" w:fill="auto" w:val="clear"/>
          </w:tcPr>
          <w:p>
            <w:pPr>
              <w:pStyle w:val="NoSpacing"/>
              <w:rPr>
                <w:rFonts w:ascii="Times New Roman" w:hAnsi="Times New Roman"/>
                <w:sz w:val="24"/>
                <w:szCs w:val="24"/>
                <w:lang w:val="ru-RU"/>
              </w:rPr>
            </w:pPr>
            <w:r>
              <w:rPr>
                <w:rFonts w:ascii="Times New Roman" w:hAnsi="Times New Roman"/>
                <w:b/>
                <w:sz w:val="24"/>
                <w:szCs w:val="24"/>
              </w:rPr>
              <w:t>10. Розмір компенсації Споживачу за недодержання Постачальником комерційної якості послуг</w:t>
            </w:r>
          </w:p>
        </w:tc>
        <w:tc>
          <w:tcPr>
            <w:tcW w:w="712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ind w:firstLine="286"/>
              <w:jc w:val="both"/>
              <w:rPr>
                <w:rFonts w:ascii="Times New Roman" w:hAnsi="Times New Roman" w:cs="Mangal"/>
                <w:sz w:val="24"/>
                <w:szCs w:val="24"/>
                <w:lang w:val="uk-UA" w:bidi="hi-IN"/>
              </w:rPr>
            </w:pPr>
            <w:r>
              <w:rPr>
                <w:rFonts w:cs="Mangal" w:ascii="Times New Roman" w:hAnsi="Times New Roman"/>
                <w:sz w:val="24"/>
                <w:szCs w:val="24"/>
                <w:lang w:val="uk-UA" w:bidi="hi-IN"/>
              </w:rPr>
              <w:t>Компенсація за недотримання постачальником комерційної якості надання послуг надається у порядку та розмірі, визначеному Регулятором.</w:t>
            </w:r>
          </w:p>
        </w:tc>
      </w:tr>
      <w:tr>
        <w:trPr/>
        <w:tc>
          <w:tcPr>
            <w:tcW w:w="2370" w:type="dxa"/>
            <w:tcBorders>
              <w:top w:val="single" w:sz="4" w:space="0" w:color="000000"/>
              <w:left w:val="single" w:sz="4" w:space="0" w:color="000000"/>
              <w:bottom w:val="single" w:sz="4" w:space="0" w:color="000000"/>
              <w:right w:val="single" w:sz="4" w:space="0" w:color="000000"/>
            </w:tcBorders>
            <w:shd w:color="auto" w:fill="auto" w:val="clear"/>
          </w:tcPr>
          <w:p>
            <w:pPr>
              <w:pStyle w:val="NoSpacing"/>
              <w:rPr>
                <w:rFonts w:ascii="Times New Roman" w:hAnsi="Times New Roman"/>
                <w:sz w:val="24"/>
                <w:szCs w:val="24"/>
                <w:lang w:val="ru-RU"/>
              </w:rPr>
            </w:pPr>
            <w:r>
              <w:rPr>
                <w:rFonts w:ascii="Times New Roman" w:hAnsi="Times New Roman"/>
                <w:b/>
                <w:sz w:val="24"/>
                <w:szCs w:val="24"/>
              </w:rPr>
              <w:t>11. Термін дії договору</w:t>
            </w:r>
          </w:p>
        </w:tc>
        <w:tc>
          <w:tcPr>
            <w:tcW w:w="712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0" w:before="0" w:after="0"/>
              <w:ind w:firstLine="286"/>
              <w:jc w:val="both"/>
              <w:rPr/>
            </w:pPr>
            <w:r>
              <w:rPr>
                <w:rFonts w:ascii="Times New Roman" w:hAnsi="Times New Roman"/>
                <w:sz w:val="24"/>
                <w:szCs w:val="24"/>
                <w:lang w:val="uk-UA" w:eastAsia="uk-UA"/>
              </w:rPr>
              <w:t>Договір набува</w:t>
            </w:r>
            <w:r>
              <w:rPr>
                <w:rFonts w:ascii="Times New Roman" w:hAnsi="Times New Roman"/>
                <w:sz w:val="24"/>
                <w:szCs w:val="24"/>
                <w:lang w:val="uk-UA" w:eastAsia="uk-UA"/>
              </w:rPr>
              <w:t xml:space="preserve">є </w:t>
            </w:r>
            <w:r>
              <w:rPr>
                <w:rFonts w:ascii="Times New Roman" w:hAnsi="Times New Roman"/>
                <w:sz w:val="24"/>
                <w:szCs w:val="24"/>
                <w:lang w:val="ru" w:eastAsia="uk-UA"/>
              </w:rPr>
              <w:t xml:space="preserve">чиності з </w:t>
            </w:r>
            <w:r>
              <w:rPr>
                <w:rFonts w:ascii="Times New Roman" w:hAnsi="Times New Roman"/>
                <w:sz w:val="24"/>
                <w:szCs w:val="24"/>
                <w:lang w:val="uk-UA" w:eastAsia="uk-UA"/>
              </w:rPr>
              <w:t xml:space="preserve">моменту його підписання Сторонами,  діє до ______________ року, </w:t>
            </w:r>
            <w:r>
              <w:rPr>
                <w:rFonts w:eastAsia="Arial" w:cs="Times New Roman" w:ascii="Times New Roman" w:hAnsi="Times New Roman"/>
                <w:b w:val="false"/>
                <w:bCs w:val="false"/>
                <w:sz w:val="24"/>
                <w:szCs w:val="24"/>
                <w:lang w:val="uk-UA" w:eastAsia="uk-UA"/>
              </w:rPr>
              <w:t xml:space="preserve">або до завершення воєнного стану, </w:t>
            </w:r>
            <w:r>
              <w:rPr>
                <w:rFonts w:eastAsia="Arial" w:cs="Times New Roman" w:ascii="Times New Roman" w:hAnsi="Times New Roman"/>
                <w:b w:val="false"/>
                <w:bCs w:val="false"/>
                <w:sz w:val="24"/>
                <w:szCs w:val="24"/>
                <w:lang w:val="ru" w:eastAsia="uk-UA"/>
              </w:rPr>
              <w:t xml:space="preserve">введеного </w:t>
            </w:r>
            <w:r>
              <w:rPr>
                <w:rFonts w:eastAsia="Arial" w:cs="Times New Roman" w:ascii="Times New Roman" w:hAnsi="Times New Roman"/>
                <w:b w:val="false"/>
                <w:bCs w:val="false"/>
                <w:sz w:val="24"/>
                <w:szCs w:val="24"/>
                <w:lang w:val="uk-UA" w:eastAsia="uk-UA"/>
              </w:rPr>
              <w:t>У</w:t>
            </w:r>
            <w:r>
              <w:rPr>
                <w:rFonts w:eastAsia="Arial" w:cs="Times New Roman" w:ascii="Times New Roman" w:hAnsi="Times New Roman"/>
                <w:b w:val="false"/>
                <w:bCs w:val="false"/>
                <w:sz w:val="24"/>
                <w:szCs w:val="24"/>
                <w:lang w:val="uk-UA" w:eastAsia="uk-UA"/>
              </w:rPr>
              <w:t>казом Президента України від 24.02.2022 № 64 «Про введення воєнного стану в Україні»</w:t>
            </w:r>
            <w:r>
              <w:rPr>
                <w:rFonts w:eastAsia="Arial" w:cs="Times New Roman" w:ascii="Times New Roman" w:hAnsi="Times New Roman"/>
                <w:b w:val="false"/>
                <w:bCs w:val="false"/>
                <w:sz w:val="24"/>
                <w:szCs w:val="24"/>
                <w:lang w:val="ru" w:eastAsia="uk-UA"/>
              </w:rPr>
              <w:t xml:space="preserve"> (зі змінами)</w:t>
            </w:r>
            <w:r>
              <w:rPr>
                <w:rFonts w:ascii="Times New Roman" w:hAnsi="Times New Roman"/>
                <w:sz w:val="24"/>
                <w:szCs w:val="24"/>
                <w:lang w:val="uk-UA" w:eastAsia="uk-UA"/>
              </w:rPr>
              <w:t xml:space="preserve">. </w:t>
            </w:r>
          </w:p>
          <w:p>
            <w:pPr>
              <w:pStyle w:val="Normal"/>
              <w:tabs>
                <w:tab w:val="clear" w:pos="708"/>
                <w:tab w:val="left" w:pos="1331" w:leader="none"/>
              </w:tabs>
              <w:spacing w:lineRule="auto" w:line="240"/>
              <w:jc w:val="both"/>
              <w:rPr/>
            </w:pPr>
            <w:r>
              <w:rPr>
                <w:rFonts w:ascii="Times New Roman" w:hAnsi="Times New Roman"/>
                <w:sz w:val="24"/>
                <w:szCs w:val="24"/>
                <w:lang w:val="uk-UA" w:eastAsia="uk-UA"/>
              </w:rPr>
              <w:t xml:space="preserve">    </w:t>
            </w:r>
            <w:r>
              <w:rPr>
                <w:rFonts w:ascii="Times New Roman" w:hAnsi="Times New Roman"/>
                <w:sz w:val="24"/>
                <w:szCs w:val="24"/>
                <w:lang w:val="uk-UA" w:eastAsia="uk-UA"/>
              </w:rPr>
              <w:t>У разі припинення дії договору, Договір припиняє свою дію в частині надання послуг, а в частині виконання фінансових зобов'язань Сторін (які виникли на дату припинення дії договору) продовжує діяти до дати здійснення повного взаєморозрахунку між Сторонами.</w:t>
            </w:r>
          </w:p>
          <w:p>
            <w:pPr>
              <w:pStyle w:val="Normal"/>
              <w:spacing w:lineRule="auto" w:line="240" w:before="0" w:after="0"/>
              <w:ind w:firstLine="286"/>
              <w:jc w:val="both"/>
              <w:rPr>
                <w:rFonts w:ascii="Times New Roman" w:hAnsi="Times New Roman"/>
                <w:sz w:val="24"/>
                <w:szCs w:val="24"/>
                <w:lang w:eastAsia="uk-UA"/>
              </w:rPr>
            </w:pPr>
            <w:r>
              <w:rPr>
                <w:rFonts w:ascii="Times New Roman" w:hAnsi="Times New Roman"/>
                <w:sz w:val="24"/>
                <w:szCs w:val="24"/>
                <w:lang w:eastAsia="uk-UA"/>
              </w:rPr>
              <w:t xml:space="preserve">Договір може бути розірвано за ініціативою будь-якої зі Сторін у порядку, визначеному законодавством України. </w:t>
            </w:r>
          </w:p>
          <w:p>
            <w:pPr>
              <w:pStyle w:val="Normal"/>
              <w:spacing w:lineRule="auto" w:line="240" w:before="0" w:after="0"/>
              <w:ind w:firstLine="286"/>
              <w:jc w:val="both"/>
              <w:rPr>
                <w:rFonts w:ascii="Times New Roman" w:hAnsi="Times New Roman"/>
                <w:sz w:val="24"/>
                <w:szCs w:val="24"/>
                <w:lang w:eastAsia="uk-UA"/>
              </w:rPr>
            </w:pPr>
            <w:r>
              <w:rPr>
                <w:rFonts w:ascii="Times New Roman" w:hAnsi="Times New Roman"/>
                <w:sz w:val="24"/>
                <w:szCs w:val="24"/>
                <w:lang w:eastAsia="uk-UA"/>
              </w:rPr>
              <w:t xml:space="preserve">Інформація про умови продовження або зміни даної комерційної пропозиції оприлюднюється на офіційному веб-сайті Постачальника не пізніше ніж за 20 календарних днів до збігу строку її дії або строку введення відповідних змін. </w:t>
            </w:r>
          </w:p>
          <w:p>
            <w:pPr>
              <w:pStyle w:val="NoSpacing"/>
              <w:ind w:firstLine="352"/>
              <w:jc w:val="both"/>
              <w:rPr/>
            </w:pPr>
            <w:r>
              <w:rPr>
                <w:rFonts w:ascii="Times New Roman" w:hAnsi="Times New Roman"/>
                <w:sz w:val="24"/>
                <w:szCs w:val="24"/>
                <w:lang w:eastAsia="uk-UA"/>
              </w:rPr>
              <w:t>У разі, якщо на момент подання заяви-приєднання до Договору на об’єкт Споживача було припинено/призупинено постачання електричної енергії або надання послуг з розподілу</w:t>
            </w:r>
            <w:r>
              <w:rPr>
                <w:rFonts w:ascii="Times New Roman" w:hAnsi="Times New Roman"/>
                <w:color w:val="auto"/>
                <w:sz w:val="24"/>
                <w:szCs w:val="24"/>
                <w:lang w:eastAsia="uk-UA"/>
              </w:rPr>
              <w:t>/</w:t>
            </w:r>
            <w:r>
              <w:rPr>
                <w:rFonts w:ascii="Times New Roman" w:hAnsi="Times New Roman"/>
                <w:sz w:val="24"/>
                <w:szCs w:val="24"/>
                <w:lang w:eastAsia="uk-UA"/>
              </w:rPr>
              <w:t xml:space="preserve">передачі електричної енергії, то договір вважається укладеним з моменту подання заяви-приєднання, а постачання здійснюється після відновлення, у встановленому законодавством порядку, надання відповідних послуг. </w:t>
            </w:r>
          </w:p>
          <w:p>
            <w:pPr>
              <w:pStyle w:val="NoSpacing"/>
              <w:ind w:firstLine="352"/>
              <w:jc w:val="both"/>
              <w:rPr>
                <w:rFonts w:ascii="Times New Roman" w:hAnsi="Times New Roman"/>
                <w:sz w:val="24"/>
                <w:szCs w:val="24"/>
                <w:lang w:eastAsia="uk-UA"/>
              </w:rPr>
            </w:pPr>
            <w:r>
              <w:rPr>
                <w:rFonts w:ascii="Times New Roman" w:hAnsi="Times New Roman"/>
                <w:sz w:val="24"/>
                <w:szCs w:val="24"/>
                <w:lang w:eastAsia="uk-UA"/>
              </w:rPr>
              <w:t xml:space="preserve">Договір, в частині постачання електричної енергії, діє виключно у межах строку дії договору споживача про надання послуг з розподілу/передачі, враховуючи розповсюдження його дії на окремі точки розподілу/передачі (за наявності декількох точок розподілу). </w:t>
            </w:r>
          </w:p>
          <w:p>
            <w:pPr>
              <w:pStyle w:val="NoSpacing"/>
              <w:ind w:firstLine="352"/>
              <w:jc w:val="both"/>
              <w:rPr>
                <w:rFonts w:ascii="Times New Roman" w:hAnsi="Times New Roman"/>
                <w:sz w:val="24"/>
                <w:szCs w:val="24"/>
                <w:lang w:eastAsia="uk-UA"/>
              </w:rPr>
            </w:pPr>
            <w:r>
              <w:rPr>
                <w:rFonts w:ascii="Times New Roman" w:hAnsi="Times New Roman"/>
                <w:sz w:val="24"/>
                <w:szCs w:val="24"/>
                <w:lang w:eastAsia="uk-UA"/>
              </w:rPr>
              <w:t xml:space="preserve">Якщо в процесі виконання договору Постачальником буде встановлено невідповідність Споживача обраній комерційній пропозиції, Споживач має обрати іншу комерційну пропозицію, про що повідомляє Постачальника шляхом надання відповідної заяви-приєднання протягом 5 робочих днів з дати отримання відповідного повідомлення Постачальника. За спірні періоди Постачальник має право здійснити перерахунок за цінами іншої комерційної пропозиції, обраної Споживачем чи визначеної Постачальником самостійно після збігу встановленого для подання заяви-приєднання строку. </w:t>
            </w:r>
          </w:p>
        </w:tc>
      </w:tr>
      <w:tr>
        <w:trPr/>
        <w:tc>
          <w:tcPr>
            <w:tcW w:w="2370" w:type="dxa"/>
            <w:tcBorders>
              <w:top w:val="single" w:sz="4" w:space="0" w:color="000000"/>
              <w:left w:val="single" w:sz="4" w:space="0" w:color="000000"/>
              <w:bottom w:val="single" w:sz="4" w:space="0" w:color="000000"/>
              <w:right w:val="single" w:sz="4" w:space="0" w:color="000000"/>
            </w:tcBorders>
            <w:shd w:color="auto" w:fill="auto" w:val="clear"/>
          </w:tcPr>
          <w:p>
            <w:pPr>
              <w:pStyle w:val="NoSpacing"/>
              <w:rPr>
                <w:rFonts w:ascii="Times New Roman" w:hAnsi="Times New Roman"/>
                <w:b/>
                <w:b/>
                <w:sz w:val="24"/>
                <w:szCs w:val="24"/>
                <w:lang w:val="ru-RU"/>
              </w:rPr>
            </w:pPr>
            <w:r>
              <w:rPr>
                <w:rFonts w:ascii="Times New Roman" w:hAnsi="Times New Roman"/>
                <w:b/>
                <w:sz w:val="24"/>
                <w:szCs w:val="24"/>
              </w:rPr>
              <w:t>12. Можливість постачання захищеним споживачам</w:t>
            </w:r>
          </w:p>
          <w:p>
            <w:pPr>
              <w:pStyle w:val="NoSpacing"/>
              <w:rPr>
                <w:rFonts w:ascii="Times New Roman" w:hAnsi="Times New Roman"/>
                <w:sz w:val="24"/>
                <w:szCs w:val="24"/>
                <w:lang w:val="ru-RU"/>
              </w:rPr>
            </w:pPr>
            <w:r>
              <w:rPr>
                <w:rFonts w:ascii="Times New Roman" w:hAnsi="Times New Roman"/>
                <w:sz w:val="24"/>
                <w:szCs w:val="24"/>
                <w:lang w:val="ru-RU"/>
              </w:rPr>
            </w:r>
          </w:p>
        </w:tc>
        <w:tc>
          <w:tcPr>
            <w:tcW w:w="7126" w:type="dxa"/>
            <w:tcBorders>
              <w:top w:val="single" w:sz="4" w:space="0" w:color="000000"/>
              <w:left w:val="single" w:sz="4" w:space="0" w:color="000000"/>
              <w:bottom w:val="single" w:sz="4" w:space="0" w:color="000000"/>
              <w:right w:val="single" w:sz="4" w:space="0" w:color="000000"/>
            </w:tcBorders>
            <w:shd w:color="auto" w:fill="auto" w:val="clear"/>
          </w:tcPr>
          <w:p>
            <w:pPr>
              <w:pStyle w:val="NoSpacing"/>
              <w:ind w:firstLine="352"/>
              <w:jc w:val="both"/>
              <w:rPr/>
            </w:pPr>
            <w:r>
              <w:rPr>
                <w:rFonts w:ascii="Times New Roman" w:hAnsi="Times New Roman"/>
                <w:sz w:val="24"/>
                <w:szCs w:val="24"/>
              </w:rPr>
              <w:t>Постачання електричної енергії захищеним споживачам не здійснюється.</w:t>
            </w:r>
          </w:p>
        </w:tc>
      </w:tr>
      <w:tr>
        <w:trPr/>
        <w:tc>
          <w:tcPr>
            <w:tcW w:w="2370" w:type="dxa"/>
            <w:tcBorders>
              <w:top w:val="single" w:sz="4" w:space="0" w:color="000000"/>
              <w:left w:val="single" w:sz="4" w:space="0" w:color="000000"/>
              <w:bottom w:val="single" w:sz="4" w:space="0" w:color="000000"/>
              <w:right w:val="single" w:sz="4" w:space="0" w:color="000000"/>
            </w:tcBorders>
            <w:shd w:color="auto" w:fill="auto" w:val="clear"/>
          </w:tcPr>
          <w:p>
            <w:pPr>
              <w:pStyle w:val="NoSpacing"/>
              <w:rPr>
                <w:rFonts w:ascii="Times New Roman" w:hAnsi="Times New Roman"/>
                <w:sz w:val="24"/>
                <w:szCs w:val="24"/>
                <w:lang w:val="ru-RU"/>
              </w:rPr>
            </w:pPr>
            <w:r>
              <w:rPr>
                <w:rFonts w:ascii="Times New Roman" w:hAnsi="Times New Roman"/>
                <w:b/>
                <w:sz w:val="24"/>
                <w:szCs w:val="24"/>
              </w:rPr>
              <w:t>13. Інші умови</w:t>
            </w:r>
          </w:p>
        </w:tc>
        <w:tc>
          <w:tcPr>
            <w:tcW w:w="7126" w:type="dxa"/>
            <w:tcBorders>
              <w:top w:val="single" w:sz="4" w:space="0" w:color="000000"/>
              <w:left w:val="single" w:sz="4" w:space="0" w:color="000000"/>
              <w:bottom w:val="single" w:sz="4" w:space="0" w:color="000000"/>
              <w:right w:val="single" w:sz="4" w:space="0" w:color="000000"/>
            </w:tcBorders>
            <w:shd w:color="auto" w:fill="auto" w:val="clear"/>
          </w:tcPr>
          <w:p>
            <w:pPr>
              <w:pStyle w:val="NoSpacing"/>
              <w:ind w:firstLine="352"/>
              <w:jc w:val="both"/>
              <w:rPr>
                <w:rFonts w:ascii="Times New Roman" w:hAnsi="Times New Roman"/>
                <w:sz w:val="24"/>
                <w:szCs w:val="24"/>
              </w:rPr>
            </w:pPr>
            <w:r>
              <w:rPr>
                <w:rFonts w:ascii="Times New Roman" w:hAnsi="Times New Roman"/>
                <w:sz w:val="24"/>
                <w:szCs w:val="24"/>
              </w:rPr>
              <w:t>Постачальник послуг комерційного обліку електричної енергії, оператор електричної мережі та адміністратор комерційного обліку мають право доступу до вузла обліку електричної енергії споживача для виконання ними своїх обов'язків відповідно до Кодексу комерційного обліку електричної енергії.</w:t>
            </w:r>
          </w:p>
          <w:p>
            <w:pPr>
              <w:pStyle w:val="NoSpacing"/>
              <w:ind w:firstLine="352"/>
              <w:jc w:val="both"/>
              <w:rPr>
                <w:rFonts w:ascii="Times New Roman" w:hAnsi="Times New Roman"/>
                <w:sz w:val="24"/>
                <w:szCs w:val="24"/>
              </w:rPr>
            </w:pPr>
            <w:r>
              <w:rPr>
                <w:rFonts w:ascii="Times New Roman" w:hAnsi="Times New Roman"/>
                <w:sz w:val="24"/>
                <w:szCs w:val="24"/>
              </w:rPr>
              <w:t>Згідно п.7.12 ПРРЕЕ витрати оператора системи на здійснення робіт з припинення та відновлення електроживлення електроустановки споживача (повторне підключення електроустановки) покриваються за рахунок коштів ініціатора здійснення цих робіт, які відшкодовуються йому споживачем, якщо припинення постачання (розподілу або передачі) електричної енергії споживачу здійснювалося у встановленому ПРРЕЕ порядку.</w:t>
            </w:r>
          </w:p>
          <w:p>
            <w:pPr>
              <w:pStyle w:val="NormalWeb"/>
              <w:spacing w:beforeAutospacing="0" w:before="280" w:afterAutospacing="0" w:after="0"/>
              <w:ind w:firstLine="352"/>
              <w:jc w:val="both"/>
              <w:rPr>
                <w:rFonts w:eastAsia="Calibri"/>
                <w:lang w:val="uk-UA" w:eastAsia="en-US"/>
              </w:rPr>
            </w:pPr>
            <w:r>
              <w:rPr>
                <w:rFonts w:eastAsia="Calibri"/>
                <w:lang w:val="uk-UA" w:eastAsia="en-US"/>
              </w:rPr>
              <w:t xml:space="preserve">Постачальник інформує споживача, з яким укладено Договір, про будь-яку зміну в умовах Договору шляхом направлення відповідної інформації: </w:t>
            </w:r>
          </w:p>
          <w:p>
            <w:pPr>
              <w:pStyle w:val="NormalWeb"/>
              <w:numPr>
                <w:ilvl w:val="0"/>
                <w:numId w:val="3"/>
              </w:numPr>
              <w:spacing w:before="100" w:afterAutospacing="0" w:after="0"/>
              <w:jc w:val="both"/>
              <w:rPr>
                <w:rFonts w:eastAsia="Calibri"/>
                <w:lang w:val="uk-UA" w:eastAsia="en-US"/>
              </w:rPr>
            </w:pPr>
            <w:r>
              <w:rPr>
                <w:rFonts w:eastAsia="Calibri"/>
                <w:lang w:val="uk-UA" w:eastAsia="en-US"/>
              </w:rPr>
              <w:t>через особистий кабінет на своєму офіційному сайті у мережі Інтернет,</w:t>
            </w:r>
          </w:p>
          <w:p>
            <w:pPr>
              <w:pStyle w:val="NormalWeb"/>
              <w:numPr>
                <w:ilvl w:val="0"/>
                <w:numId w:val="3"/>
              </w:numPr>
              <w:spacing w:before="100" w:afterAutospacing="0" w:after="0"/>
              <w:jc w:val="both"/>
              <w:rPr>
                <w:rFonts w:eastAsia="Calibri"/>
                <w:lang w:val="uk-UA" w:eastAsia="en-US"/>
              </w:rPr>
            </w:pPr>
            <w:r>
              <w:rPr>
                <w:rFonts w:eastAsia="Calibri"/>
                <w:lang w:val="uk-UA" w:eastAsia="en-US"/>
              </w:rPr>
              <w:t xml:space="preserve">засобами електронного зв'язку на електронну адресу вказану у заяві-приєднання до умов договору, </w:t>
            </w:r>
          </w:p>
          <w:p>
            <w:pPr>
              <w:pStyle w:val="NormalWeb"/>
              <w:numPr>
                <w:ilvl w:val="0"/>
                <w:numId w:val="3"/>
              </w:numPr>
              <w:spacing w:before="100" w:afterAutospacing="0" w:after="0"/>
              <w:jc w:val="both"/>
              <w:rPr>
                <w:rFonts w:eastAsia="Calibri"/>
                <w:lang w:val="uk-UA" w:eastAsia="en-US"/>
              </w:rPr>
            </w:pPr>
            <w:r>
              <w:rPr>
                <w:rFonts w:eastAsia="Calibri"/>
                <w:lang w:val="uk-UA" w:eastAsia="en-US"/>
              </w:rPr>
              <w:t xml:space="preserve">СМС-повідомленням на номер, зазначений у заяві-приєднання до умов договору, </w:t>
            </w:r>
          </w:p>
          <w:p>
            <w:pPr>
              <w:pStyle w:val="NormalWeb"/>
              <w:numPr>
                <w:ilvl w:val="0"/>
                <w:numId w:val="3"/>
              </w:numPr>
              <w:spacing w:before="100" w:afterAutospacing="0" w:after="0"/>
              <w:jc w:val="both"/>
              <w:rPr>
                <w:rFonts w:eastAsia="Calibri"/>
                <w:lang w:val="uk-UA" w:eastAsia="en-US"/>
              </w:rPr>
            </w:pPr>
            <w:r>
              <w:rPr>
                <w:rFonts w:eastAsia="Calibri"/>
                <w:lang w:val="uk-UA" w:eastAsia="en-US"/>
              </w:rPr>
              <w:t>в центрах обслуговування клієнтів тощо.</w:t>
            </w:r>
          </w:p>
          <w:p>
            <w:pPr>
              <w:pStyle w:val="NormalWeb"/>
              <w:spacing w:beforeAutospacing="0" w:before="280" w:afterAutospacing="0" w:after="0"/>
              <w:ind w:firstLine="493"/>
              <w:jc w:val="both"/>
              <w:rPr>
                <w:rFonts w:eastAsia="Calibri"/>
                <w:lang w:val="uk-UA" w:eastAsia="en-US"/>
              </w:rPr>
            </w:pPr>
            <w:r>
              <w:rPr>
                <w:rFonts w:eastAsia="Calibri"/>
                <w:lang w:val="uk-UA" w:eastAsia="en-US"/>
              </w:rPr>
              <w:t xml:space="preserve">Постачальник може інформувати, повідомляти споживача, з яким укладено Договір, про закінчення терміну дії Договору, зміну тарифів, суми до сплати по рахунках, виставлених згідно з умовами Договору, строки їх оплати, про відключення за несплачену заборгованість, іншу інформацію, яка стосується взаємовідносин Сторін або може бути корисною для Споживача, шляхом направлення відповідної інформації: </w:t>
            </w:r>
          </w:p>
          <w:p>
            <w:pPr>
              <w:pStyle w:val="NormalWeb"/>
              <w:numPr>
                <w:ilvl w:val="0"/>
                <w:numId w:val="3"/>
              </w:numPr>
              <w:spacing w:before="100" w:afterAutospacing="0" w:after="0"/>
              <w:jc w:val="both"/>
              <w:rPr>
                <w:rFonts w:eastAsia="Calibri"/>
                <w:lang w:val="uk-UA" w:eastAsia="en-US"/>
              </w:rPr>
            </w:pPr>
            <w:r>
              <w:rPr>
                <w:rFonts w:eastAsia="Calibri"/>
                <w:lang w:val="uk-UA" w:eastAsia="en-US"/>
              </w:rPr>
              <w:t>через особистий кабінет на своєму офіційному сайті у мережі Інтернет,</w:t>
            </w:r>
          </w:p>
          <w:p>
            <w:pPr>
              <w:pStyle w:val="NormalWeb"/>
              <w:numPr>
                <w:ilvl w:val="0"/>
                <w:numId w:val="3"/>
              </w:numPr>
              <w:spacing w:before="100" w:afterAutospacing="0" w:after="0"/>
              <w:ind w:left="714" w:hanging="357"/>
              <w:jc w:val="both"/>
              <w:rPr>
                <w:rFonts w:eastAsia="Calibri"/>
                <w:lang w:val="uk-UA" w:eastAsia="en-US"/>
              </w:rPr>
            </w:pPr>
            <w:r>
              <w:rPr>
                <w:rFonts w:eastAsia="Calibri"/>
                <w:lang w:val="uk-UA" w:eastAsia="en-US"/>
              </w:rPr>
              <w:t xml:space="preserve">засобами електронного зв'язку на електронну адресу вказану у заяві-приєднання до умов договору, </w:t>
            </w:r>
          </w:p>
          <w:p>
            <w:pPr>
              <w:pStyle w:val="NormalWeb"/>
              <w:numPr>
                <w:ilvl w:val="0"/>
                <w:numId w:val="3"/>
              </w:numPr>
              <w:spacing w:before="100" w:afterAutospacing="0" w:after="0"/>
              <w:ind w:left="714" w:hanging="357"/>
              <w:jc w:val="both"/>
              <w:rPr>
                <w:rFonts w:eastAsia="Calibri"/>
                <w:lang w:val="uk-UA" w:eastAsia="en-US"/>
              </w:rPr>
            </w:pPr>
            <w:r>
              <w:rPr>
                <w:rFonts w:eastAsia="Calibri"/>
                <w:lang w:val="uk-UA" w:eastAsia="en-US"/>
              </w:rPr>
              <w:t xml:space="preserve">СМС-повідомленням на номер, зазначений у заяві-приєднання до умов договору, </w:t>
            </w:r>
          </w:p>
          <w:p>
            <w:pPr>
              <w:pStyle w:val="NormalWeb"/>
              <w:numPr>
                <w:ilvl w:val="0"/>
                <w:numId w:val="3"/>
              </w:numPr>
              <w:spacing w:before="100" w:afterAutospacing="0" w:after="0"/>
              <w:jc w:val="both"/>
              <w:rPr>
                <w:rFonts w:eastAsia="Calibri"/>
                <w:lang w:val="uk-UA" w:eastAsia="en-US"/>
              </w:rPr>
            </w:pPr>
            <w:r>
              <w:rPr>
                <w:rFonts w:eastAsia="Calibri"/>
                <w:lang w:val="uk-UA" w:eastAsia="en-US"/>
              </w:rPr>
              <w:t>в центрах обслуговування клієнтів тощо.</w:t>
            </w:r>
          </w:p>
          <w:p>
            <w:pPr>
              <w:pStyle w:val="NormalWeb"/>
              <w:tabs>
                <w:tab w:val="clear" w:pos="708"/>
                <w:tab w:val="left" w:pos="851" w:leader="none"/>
              </w:tabs>
              <w:spacing w:beforeAutospacing="0" w:before="280" w:afterAutospacing="0" w:after="0"/>
              <w:ind w:firstLine="424"/>
              <w:jc w:val="both"/>
              <w:rPr>
                <w:rFonts w:eastAsia="Calibri"/>
                <w:lang w:val="uk-UA" w:eastAsia="en-US"/>
              </w:rPr>
            </w:pPr>
            <w:r>
              <w:rPr>
                <w:rFonts w:eastAsia="Calibri"/>
                <w:lang w:val="uk-UA" w:eastAsia="en-US"/>
              </w:rPr>
              <w:t xml:space="preserve">При наявності розбіжностей в частині визначення обсягу спожитої електричної енергії вони підлягають врегулюванню відповідно до Кодексу комерційного обліку або в судовому порядку. До вирішення цього питання величина обсягу спожитої електричної енергії встановлюється відповідно до даних Оператора системи розподілу (передачі). </w:t>
            </w:r>
          </w:p>
          <w:p>
            <w:pPr>
              <w:pStyle w:val="NormalWeb"/>
              <w:tabs>
                <w:tab w:val="clear" w:pos="708"/>
                <w:tab w:val="left" w:pos="851" w:leader="none"/>
              </w:tabs>
              <w:spacing w:beforeAutospacing="0" w:before="280" w:afterAutospacing="0" w:after="0"/>
              <w:ind w:firstLine="424"/>
              <w:jc w:val="both"/>
              <w:rPr>
                <w:rFonts w:eastAsia="Calibri"/>
                <w:lang w:val="uk-UA" w:eastAsia="en-US"/>
              </w:rPr>
            </w:pPr>
            <w:r>
              <w:rPr>
                <w:rFonts w:eastAsia="Calibri"/>
                <w:lang w:val="uk-UA" w:eastAsia="en-US"/>
              </w:rPr>
              <w:t>По всім питанням не врегульованим Договором або цією комерційною пропозицією, Сторони керуються чинним законодавством України, зокрема, Законом України «Про ринок електричної енергії» та Правилами роздрібного ринку електричної енергії.</w:t>
            </w:r>
          </w:p>
          <w:p>
            <w:pPr>
              <w:pStyle w:val="NormalWeb"/>
              <w:tabs>
                <w:tab w:val="clear" w:pos="708"/>
                <w:tab w:val="left" w:pos="851" w:leader="none"/>
              </w:tabs>
              <w:spacing w:beforeAutospacing="0" w:before="280" w:afterAutospacing="0" w:after="0"/>
              <w:ind w:firstLine="424"/>
              <w:jc w:val="both"/>
              <w:rPr>
                <w:rFonts w:eastAsia="Calibri"/>
                <w:lang w:val="uk-UA" w:eastAsia="en-US"/>
              </w:rPr>
            </w:pPr>
            <w:r>
              <w:rPr>
                <w:rFonts w:eastAsia="Calibri"/>
                <w:lang w:val="uk-UA" w:eastAsia="en-US"/>
              </w:rPr>
              <w:t>Споживач зобов'язується у місячний строк повідомити Постачальника про зміну будь-якої інформації та даних, зазначених в заяві-приєднанні, яка є додатком 1 до цього Договору.</w:t>
            </w:r>
          </w:p>
          <w:p>
            <w:pPr>
              <w:pStyle w:val="NormalWeb"/>
              <w:tabs>
                <w:tab w:val="clear" w:pos="708"/>
                <w:tab w:val="left" w:pos="851" w:leader="none"/>
              </w:tabs>
              <w:spacing w:beforeAutospacing="0" w:before="280" w:afterAutospacing="0" w:after="0"/>
              <w:ind w:firstLine="424"/>
              <w:jc w:val="both"/>
              <w:rPr/>
            </w:pPr>
            <w:r>
              <w:rPr>
                <w:rFonts w:eastAsia="Calibri"/>
                <w:lang w:val="uk-UA" w:eastAsia="en-US"/>
              </w:rPr>
              <w:t>Для виконання ст. 201.10 ПКУ, під час подання заяви-приєднання Споживач повинен мати наявний в нього статус платника ПДВ. Про зміну статусу платника ПДВ Споживач зобов'язується повідомити Постачальника протягом трьох календарних днів, що настають за днем, коли змінилися дані платника податку.</w:t>
            </w:r>
          </w:p>
          <w:p>
            <w:pPr>
              <w:pStyle w:val="NormalWeb"/>
              <w:tabs>
                <w:tab w:val="clear" w:pos="708"/>
                <w:tab w:val="left" w:pos="851" w:leader="none"/>
              </w:tabs>
              <w:spacing w:beforeAutospacing="0" w:before="280" w:afterAutospacing="0" w:after="0"/>
              <w:ind w:firstLine="424"/>
              <w:jc w:val="both"/>
              <w:rPr>
                <w:rFonts w:eastAsia="Calibri"/>
                <w:lang w:val="uk-UA" w:eastAsia="en-US"/>
              </w:rPr>
            </w:pPr>
            <w:r>
              <w:rPr>
                <w:rFonts w:eastAsia="Calibri"/>
                <w:lang w:val="uk-UA" w:eastAsia="en-US"/>
              </w:rPr>
              <w:t>В разі неповідомлення або несвоєчасного повідомлення Постачальника Споживачем про наявний статус платника ПДВ або про зміну цього статусу, споживач зобов’язується компенсувати Постачальнику збитки, заподіяні таким неповідомленням або несвоєчасним повідомленням.</w:t>
            </w:r>
          </w:p>
          <w:p>
            <w:pPr>
              <w:pStyle w:val="NormalWeb"/>
              <w:tabs>
                <w:tab w:val="clear" w:pos="708"/>
                <w:tab w:val="left" w:pos="851" w:leader="none"/>
              </w:tabs>
              <w:spacing w:beforeAutospacing="0" w:before="280" w:afterAutospacing="0" w:after="0"/>
              <w:ind w:firstLine="424"/>
              <w:jc w:val="both"/>
              <w:rPr/>
            </w:pPr>
            <w:r>
              <w:rPr>
                <w:lang w:val="uk-UA"/>
              </w:rPr>
              <w:t>Сторони Договору</w:t>
            </w:r>
            <w:r>
              <w:rPr/>
              <w:t xml:space="preserve"> допуска</w:t>
            </w:r>
            <w:r>
              <w:rPr>
                <w:lang w:val="uk-UA"/>
              </w:rPr>
              <w:t>ють можливість</w:t>
            </w:r>
            <w:r>
              <w:rPr/>
              <w:t xml:space="preserve"> </w:t>
            </w:r>
            <w:r>
              <w:rPr>
                <w:lang w:val="uk-UA"/>
              </w:rPr>
              <w:t>обміну документами за цим договором</w:t>
            </w:r>
            <w:r>
              <w:rPr/>
              <w:t xml:space="preserve"> у формі електронного документу</w:t>
            </w:r>
            <w:r>
              <w:rPr>
                <w:lang w:val="uk-UA"/>
              </w:rPr>
              <w:t xml:space="preserve"> з </w:t>
            </w:r>
            <w:r>
              <w:rPr/>
              <w:t>їх підписання</w:t>
            </w:r>
            <w:r>
              <w:rPr>
                <w:lang w:val="uk-UA"/>
              </w:rPr>
              <w:t>м</w:t>
            </w:r>
            <w:r>
              <w:rPr/>
              <w:t xml:space="preserve"> </w:t>
            </w:r>
            <w:r>
              <w:rPr>
                <w:lang w:val="uk-UA"/>
              </w:rPr>
              <w:t>за</w:t>
            </w:r>
            <w:r>
              <w:rPr/>
              <w:t xml:space="preserve"> </w:t>
            </w:r>
            <w:r>
              <w:rPr>
                <w:lang w:val="uk-UA"/>
              </w:rPr>
              <w:t>допомогою</w:t>
            </w:r>
            <w:r>
              <w:rPr/>
              <w:t xml:space="preserve"> електронного підпису</w:t>
            </w:r>
            <w:r>
              <w:rPr>
                <w:lang w:val="uk-UA"/>
              </w:rPr>
              <w:t xml:space="preserve"> (КЕП/ЕЦП)</w:t>
            </w:r>
            <w:r>
              <w:rPr/>
              <w:t xml:space="preserve"> відповідно до вимог  Закону України «Про електронні довірчі послуги» та Закону України «Про електронні документи та електронний документообіг».</w:t>
            </w:r>
          </w:p>
          <w:p>
            <w:pPr>
              <w:pStyle w:val="NoSpacing"/>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Уразі погодження Сторонами обміну документами у формі електронного документу, такі документи направляються:</w:t>
            </w:r>
          </w:p>
          <w:p>
            <w:pPr>
              <w:pStyle w:val="NoSpacing"/>
              <w:rPr>
                <w:rFonts w:ascii="Times New Roman" w:hAnsi="Times New Roman"/>
                <w:sz w:val="24"/>
                <w:szCs w:val="24"/>
              </w:rPr>
            </w:pPr>
            <w:r>
              <w:rPr>
                <w:rFonts w:ascii="Times New Roman" w:hAnsi="Times New Roman"/>
                <w:sz w:val="24"/>
                <w:szCs w:val="24"/>
              </w:rPr>
              <w:t>- Постачальнику на електронну адресу: ________________________________.</w:t>
            </w:r>
          </w:p>
          <w:p>
            <w:pPr>
              <w:pStyle w:val="NoSpacing"/>
              <w:rPr>
                <w:rFonts w:ascii="Times New Roman" w:hAnsi="Times New Roman"/>
                <w:sz w:val="24"/>
                <w:szCs w:val="24"/>
              </w:rPr>
            </w:pPr>
            <w:r>
              <w:rPr>
                <w:rFonts w:ascii="Times New Roman" w:hAnsi="Times New Roman"/>
                <w:sz w:val="24"/>
                <w:szCs w:val="24"/>
              </w:rPr>
              <w:t>- Споживачу на електронну адресу зазначену у цьому договорі та/або в заяві-приєднання, комерційній пропозиції: ______________</w:t>
            </w:r>
            <w:r>
              <w:rPr>
                <w:rFonts w:ascii="Times New Roman" w:hAnsi="Times New Roman"/>
                <w:sz w:val="24"/>
                <w:szCs w:val="24"/>
                <w:lang w:val="ru-RU"/>
              </w:rPr>
              <w:t>______________</w:t>
            </w:r>
            <w:r>
              <w:rPr>
                <w:rFonts w:ascii="Times New Roman" w:hAnsi="Times New Roman"/>
                <w:sz w:val="24"/>
                <w:szCs w:val="24"/>
              </w:rPr>
              <w:t>___.</w:t>
            </w:r>
          </w:p>
          <w:p>
            <w:pPr>
              <w:pStyle w:val="12"/>
              <w:tabs>
                <w:tab w:val="clear" w:pos="708"/>
                <w:tab w:val="left" w:pos="426" w:leader="none"/>
              </w:tabs>
              <w:spacing w:before="280" w:after="0"/>
              <w:ind w:left="0" w:hanging="0"/>
              <w:rPr>
                <w:rFonts w:ascii="Times New Roman" w:hAnsi="Times New Roman"/>
                <w:sz w:val="24"/>
                <w:szCs w:val="24"/>
                <w:lang w:val="uk-UA"/>
              </w:rPr>
            </w:pPr>
            <w:r>
              <w:rPr>
                <w:rFonts w:ascii="Times New Roman" w:hAnsi="Times New Roman"/>
                <w:sz w:val="24"/>
                <w:szCs w:val="24"/>
                <w:lang w:val="uk-UA"/>
              </w:rPr>
            </w:r>
          </w:p>
        </w:tc>
      </w:tr>
    </w:tbl>
    <w:p>
      <w:pPr>
        <w:pStyle w:val="Normal"/>
        <w:spacing w:lineRule="auto" w:line="240" w:before="0" w:after="0"/>
        <w:rPr>
          <w:rFonts w:ascii="Times New Roman" w:hAnsi="Times New Roman" w:cs="Mangal"/>
          <w:sz w:val="24"/>
          <w:szCs w:val="24"/>
          <w:lang w:val="uk-UA" w:bidi="hi-IN"/>
        </w:rPr>
      </w:pPr>
      <w:r>
        <w:rPr>
          <w:rFonts w:cs="Mangal" w:ascii="Times New Roman" w:hAnsi="Times New Roman"/>
          <w:sz w:val="24"/>
          <w:szCs w:val="24"/>
          <w:lang w:val="uk-UA" w:bidi="hi-IN"/>
        </w:rPr>
      </w:r>
    </w:p>
    <w:p>
      <w:pPr>
        <w:pStyle w:val="Normal"/>
        <w:spacing w:before="0" w:after="200"/>
        <w:rPr/>
      </w:pPr>
      <w:r>
        <w:rPr>
          <w:rFonts w:ascii="Times New Roman" w:hAnsi="Times New Roman"/>
          <w:sz w:val="24"/>
          <w:szCs w:val="24"/>
        </w:rPr>
        <w:t xml:space="preserve">Директор </w:t>
      </w:r>
    </w:p>
    <w:p>
      <w:pPr>
        <w:pStyle w:val="Normal"/>
        <w:spacing w:lineRule="auto" w:line="240" w:before="0" w:after="200"/>
        <w:rPr/>
      </w:pPr>
      <w:r>
        <w:rPr>
          <w:rFonts w:ascii="Times New Roman" w:hAnsi="Times New Roman"/>
          <w:sz w:val="24"/>
          <w:szCs w:val="24"/>
        </w:rPr>
        <w:t xml:space="preserve">ТОВ «Запоріжжяелектропостачання» </w:t>
      </w:r>
    </w:p>
    <w:sectPr>
      <w:type w:val="nextPage"/>
      <w:pgSz w:w="11906" w:h="16838"/>
      <w:pgMar w:left="1701" w:right="851" w:header="0" w:top="567" w:footer="0" w:bottom="56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default"/>
  </w:font>
  <w:font w:name="Tahoma">
    <w:charset w:val="01"/>
    <w:family w:val="swiss"/>
    <w:pitch w:val="default"/>
  </w:font>
  <w:font w:name="Times New Roman">
    <w:charset w:val="01"/>
    <w:family w:val="swiss"/>
    <w:pitch w:val="default"/>
  </w:font>
  <w:font w:name="Liberation Sans">
    <w:altName w:val="Arial"/>
    <w:charset w:val="01"/>
    <w:family w:val="swiss"/>
    <w:pitch w:val="default"/>
  </w:font>
  <w:font w:name="TimesNewRomanPSMT">
    <w:charset w:val="01"/>
    <w:family w:val="swiss"/>
    <w:pitch w:val="default"/>
  </w:font>
  <w:font w:name="Symbol">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sz w:val="24"/>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ind w:left="720" w:hanging="360"/>
      </w:pPr>
      <w:rPr>
        <w:rFonts w:ascii="Symbol" w:hAnsi="Symbol" w:cs="Symbol" w:hint="default"/>
        <w:sz w:val="24"/>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0"/>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zh-CN"/>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zh-CN" w:bidi="hi-IN"/>
      </w:rPr>
    </w:rPrDefault>
    <w:pPrDefault>
      <w:pPr/>
    </w:pPrDefault>
  </w:docDefaults>
  <w:latentStyles w:defLockedState="0" w:defUIPriority="99" w:defSemiHidden="1" w:defUnhideWhenUsed="1" w:defQFormat="0" w:count="260">
    <w:lsdException w:name="Normal" w:uiPriority="0" w:semiHidden="0" w:unhideWhenUsed="0" w:qFormat="1"/>
    <w:lsdException w:name="heading 1" w:locked="1" w:uiPriority="0"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uiPriority="9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locked="1" w:uiPriority="0" w:semiHidden="0" w:unhideWhenUsed="0"/>
    <w:lsdException w:name="toc 2" w:locked="1" w:uiPriority="0" w:semiHidden="0" w:unhideWhenUsed="0"/>
    <w:lsdException w:name="toc 3" w:locked="1" w:uiPriority="0" w:semiHidden="0" w:unhideWhenUsed="0"/>
    <w:lsdException w:name="toc 4" w:locked="1" w:uiPriority="0" w:semiHidden="0" w:unhideWhenUsed="0"/>
    <w:lsdException w:name="toc 5" w:locked="1" w:uiPriority="0" w:semiHidden="0" w:unhideWhenUsed="0"/>
    <w:lsdException w:name="toc 6" w:locked="1" w:uiPriority="0" w:semiHidden="0" w:unhideWhenUsed="0"/>
    <w:lsdException w:name="toc 7" w:locked="1" w:uiPriority="0" w:semiHidden="0" w:unhideWhenUsed="0"/>
    <w:lsdException w:name="toc 8" w:locked="1" w:uiPriority="0" w:semiHidden="0" w:unhideWhenUsed="0"/>
    <w:lsdException w:name="toc 9" w:locked="1" w:uiPriority="0" w:semiHidden="0" w:unhideWhenUsed="0"/>
    <w:lsdException w:name="Normal Indent" w:uiPriority="99"/>
    <w:lsdException w:name="footnote text" w:uiPriority="99"/>
    <w:lsdException w:name="annotation text" w:uiPriority="99" w:unhideWhenUsed="0" w:qFormat="1"/>
    <w:lsdException w:name="header" w:uiPriority="99"/>
    <w:lsdException w:name="footer" w:uiPriority="99"/>
    <w:lsdException w:name="index heading" w:uiPriority="0" w:semiHidden="0" w:unhideWhenUsed="0" w:qFormat="1"/>
    <w:lsdException w:name="caption" w:uiPriority="0" w:semiHidden="0" w:unhideWhenUsed="0" w:qFormat="1"/>
    <w:lsdException w:name="table of figures" w:uiPriority="99"/>
    <w:lsdException w:name="envelope address" w:uiPriority="99"/>
    <w:lsdException w:name="envelope return" w:uiPriority="99"/>
    <w:lsdException w:name="footnote reference" w:uiPriority="99"/>
    <w:lsdException w:name="annotation reference" w:uiPriority="99" w:unhideWhenUsed="0" w:qFormat="1"/>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0" w:semiHidden="0" w:unhideWhenUsed="0" w:qFormat="1"/>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locked="1" w:uiPriority="0" w:semiHidden="0" w:unhideWhenUsed="0" w:qFormat="1"/>
    <w:lsdException w:name="Closing" w:uiPriority="99"/>
    <w:lsdException w:name="Signature" w:uiPriority="99"/>
    <w:lsdException w:name="Default Paragraph Font" w:uiPriority="1" w:qFormat="1"/>
    <w:lsdException w:name="Body Text" w:uiPriority="99" w:semiHidden="0" w:unhideWhenUsed="0" w:qFormat="1"/>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locked="1" w:uiPriority="0" w:semiHidden="0" w:unhideWhenUsed="0" w:qFormat="1"/>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locked="1" w:uiPriority="0" w:semiHidden="0" w:unhideWhenUsed="0" w:qFormat="1"/>
    <w:lsdException w:name="Emphasis" w:locked="1" w:uiPriority="0" w:semiHidden="0" w:unhideWhenUsed="0" w:qFormat="1"/>
    <w:lsdException w:name="Document Map" w:uiPriority="99"/>
    <w:lsdException w:name="Plain Text" w:uiPriority="99"/>
    <w:lsdException w:name="E-mail Signature" w:uiPriority="99"/>
    <w:lsdException w:name="Normal (Web)" w:uiPriority="99" w:semiHidden="0" w:unhideWhenUsed="0" w:qFormat="1"/>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qFormat="1"/>
    <w:lsdException w:name="annotation subject" w:uiPriority="99" w:unhideWhenUsed="0" w:qFormat="1"/>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unhideWhenUsed="0" w:qFormat="1"/>
    <w:lsdException w:name="Table Grid" w:uiPriority="99" w:semiHidden="0" w:unhideWhenUsed="0" w:qFormat="1"/>
    <w:lsdException w:name="Table Theme" w:uiPriority="99"/>
    <w:lsdException w:name="No Spacing" w:uiPriority="99" w:semiHidden="0" w:unhideWhenUsed="0" w:qFormat="1"/>
    <w:lsdException w:name="List Paragraph" w:uiPriority="99" w:semiHidden="0" w:unhideWhenUsed="0" w:qFormat="1"/>
  </w:latentStyles>
  <w:style w:type="paragraph" w:styleId="Normal" w:default="1">
    <w:name w:val="Normal"/>
    <w:uiPriority w:val="0"/>
    <w:qFormat/>
    <w:pPr>
      <w:widowControl/>
      <w:bidi w:val="0"/>
      <w:spacing w:lineRule="auto" w:line="276" w:before="0" w:after="200"/>
      <w:jc w:val="left"/>
    </w:pPr>
    <w:rPr>
      <w:rFonts w:ascii="Calibri" w:hAnsi="Calibri" w:eastAsia="Calibri" w:cs="Times New Roman"/>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Annotationreference">
    <w:name w:val="annotation reference"/>
    <w:uiPriority w:val="99"/>
    <w:semiHidden/>
    <w:qFormat/>
    <w:rPr>
      <w:rFonts w:cs="Times New Roman"/>
      <w:sz w:val="16"/>
      <w:szCs w:val="16"/>
    </w:rPr>
  </w:style>
  <w:style w:type="character" w:styleId="Style14" w:customStyle="1">
    <w:name w:val="Текст примечания Знак"/>
    <w:uiPriority w:val="99"/>
    <w:semiHidden/>
    <w:qFormat/>
    <w:locked/>
    <w:rPr>
      <w:rFonts w:cs="Times New Roman"/>
      <w:sz w:val="20"/>
      <w:szCs w:val="20"/>
    </w:rPr>
  </w:style>
  <w:style w:type="character" w:styleId="Style15" w:customStyle="1">
    <w:name w:val="Тема примечания Знак"/>
    <w:uiPriority w:val="99"/>
    <w:semiHidden/>
    <w:qFormat/>
    <w:locked/>
    <w:rPr>
      <w:rFonts w:cs="Times New Roman"/>
      <w:b/>
      <w:bCs/>
      <w:sz w:val="20"/>
      <w:szCs w:val="20"/>
    </w:rPr>
  </w:style>
  <w:style w:type="character" w:styleId="Style16" w:customStyle="1">
    <w:name w:val="Текст выноски Знак"/>
    <w:uiPriority w:val="99"/>
    <w:semiHidden/>
    <w:qFormat/>
    <w:locked/>
    <w:rPr>
      <w:rFonts w:ascii="Tahoma" w:hAnsi="Tahoma" w:cs="Tahoma"/>
      <w:sz w:val="16"/>
      <w:szCs w:val="16"/>
    </w:rPr>
  </w:style>
  <w:style w:type="character" w:styleId="BodyTextChar1" w:customStyle="1">
    <w:name w:val="Body Text Char1"/>
    <w:uiPriority w:val="99"/>
    <w:qFormat/>
    <w:locked/>
    <w:rPr>
      <w:sz w:val="23"/>
    </w:rPr>
  </w:style>
  <w:style w:type="character" w:styleId="Style17" w:customStyle="1">
    <w:name w:val="Основной текст Знак"/>
    <w:uiPriority w:val="99"/>
    <w:semiHidden/>
    <w:qFormat/>
    <w:locked/>
    <w:rPr>
      <w:rFonts w:cs="Times New Roman"/>
      <w:lang w:val="ru-RU"/>
    </w:rPr>
  </w:style>
  <w:style w:type="character" w:styleId="Style18" w:customStyle="1">
    <w:name w:val="Интернет-ссылка"/>
    <w:uiPriority w:val="99"/>
    <w:qFormat/>
    <w:rPr>
      <w:rFonts w:cs="Times New Roman"/>
      <w:color w:val="648BCB"/>
      <w:u w:val="single"/>
    </w:rPr>
  </w:style>
  <w:style w:type="character" w:styleId="2" w:customStyle="1">
    <w:name w:val="Основной текст (2)_"/>
    <w:uiPriority w:val="99"/>
    <w:qFormat/>
    <w:locked/>
    <w:rPr>
      <w:rFonts w:cs="Mangal"/>
      <w:b/>
      <w:bCs/>
      <w:sz w:val="23"/>
      <w:szCs w:val="23"/>
      <w:lang w:bidi="hi-IN"/>
    </w:rPr>
  </w:style>
  <w:style w:type="character" w:styleId="21" w:customStyle="1">
    <w:name w:val="Основной текст (2) + Не полужирный"/>
    <w:link w:val="23"/>
    <w:uiPriority w:val="99"/>
    <w:qFormat/>
    <w:rPr>
      <w:rFonts w:cs="Mangal"/>
      <w:b/>
      <w:bCs/>
      <w:sz w:val="23"/>
      <w:szCs w:val="23"/>
      <w:lang w:bidi="hi-IN"/>
    </w:rPr>
  </w:style>
  <w:style w:type="character" w:styleId="ListLabel1" w:customStyle="1">
    <w:name w:val="ListLabel 1"/>
    <w:uiPriority w:val="0"/>
    <w:qFormat/>
    <w:rPr>
      <w:rFonts w:eastAsia="Times New Roman"/>
      <w:color w:val="auto"/>
    </w:rPr>
  </w:style>
  <w:style w:type="character" w:styleId="ListLabel2" w:customStyle="1">
    <w:name w:val="ListLabel 2"/>
    <w:uiPriority w:val="0"/>
    <w:qFormat/>
    <w:rPr>
      <w:rFonts w:eastAsia="Times New Roman"/>
    </w:rPr>
  </w:style>
  <w:style w:type="character" w:styleId="ListLabel3" w:customStyle="1">
    <w:name w:val="ListLabel 3"/>
    <w:uiPriority w:val="0"/>
    <w:qFormat/>
    <w:rPr>
      <w:rFonts w:eastAsia="Times New Roman"/>
    </w:rPr>
  </w:style>
  <w:style w:type="character" w:styleId="ListLabel4" w:customStyle="1">
    <w:name w:val="ListLabel 4"/>
    <w:uiPriority w:val="0"/>
    <w:qFormat/>
    <w:rPr>
      <w:sz w:val="20"/>
    </w:rPr>
  </w:style>
  <w:style w:type="character" w:styleId="ListLabel5" w:customStyle="1">
    <w:name w:val="ListLabel 5"/>
    <w:uiPriority w:val="0"/>
    <w:qFormat/>
    <w:rPr>
      <w:sz w:val="20"/>
    </w:rPr>
  </w:style>
  <w:style w:type="character" w:styleId="ListLabel6" w:customStyle="1">
    <w:name w:val="ListLabel 6"/>
    <w:uiPriority w:val="0"/>
    <w:qFormat/>
    <w:rPr>
      <w:sz w:val="20"/>
    </w:rPr>
  </w:style>
  <w:style w:type="character" w:styleId="ListLabel7" w:customStyle="1">
    <w:name w:val="ListLabel 7"/>
    <w:uiPriority w:val="0"/>
    <w:qFormat/>
    <w:rPr>
      <w:sz w:val="20"/>
    </w:rPr>
  </w:style>
  <w:style w:type="character" w:styleId="ListLabel8" w:customStyle="1">
    <w:name w:val="ListLabel 8"/>
    <w:uiPriority w:val="0"/>
    <w:qFormat/>
    <w:rPr>
      <w:sz w:val="20"/>
    </w:rPr>
  </w:style>
  <w:style w:type="character" w:styleId="ListLabel9" w:customStyle="1">
    <w:name w:val="ListLabel 9"/>
    <w:uiPriority w:val="0"/>
    <w:qFormat/>
    <w:rPr>
      <w:sz w:val="20"/>
    </w:rPr>
  </w:style>
  <w:style w:type="character" w:styleId="ListLabel10" w:customStyle="1">
    <w:name w:val="ListLabel 10"/>
    <w:uiPriority w:val="0"/>
    <w:qFormat/>
    <w:rPr>
      <w:sz w:val="20"/>
    </w:rPr>
  </w:style>
  <w:style w:type="character" w:styleId="ListLabel11" w:customStyle="1">
    <w:name w:val="ListLabel 11"/>
    <w:uiPriority w:val="0"/>
    <w:qFormat/>
    <w:rPr>
      <w:sz w:val="20"/>
    </w:rPr>
  </w:style>
  <w:style w:type="character" w:styleId="ListLabel12" w:customStyle="1">
    <w:name w:val="ListLabel 12"/>
    <w:uiPriority w:val="0"/>
    <w:qFormat/>
    <w:rPr>
      <w:sz w:val="20"/>
    </w:rPr>
  </w:style>
  <w:style w:type="character" w:styleId="ListLabel13" w:customStyle="1">
    <w:name w:val="ListLabel 13"/>
    <w:uiPriority w:val="0"/>
    <w:qFormat/>
    <w:rPr>
      <w:rFonts w:eastAsia="Times New Roman"/>
    </w:rPr>
  </w:style>
  <w:style w:type="character" w:styleId="ListLabel14" w:customStyle="1">
    <w:name w:val="ListLabel 14"/>
    <w:uiPriority w:val="0"/>
    <w:qFormat/>
    <w:rPr>
      <w:rFonts w:eastAsia="Times New Roman"/>
      <w:color w:val="auto"/>
    </w:rPr>
  </w:style>
  <w:style w:type="character" w:styleId="ListLabel15" w:customStyle="1">
    <w:name w:val="ListLabel 15"/>
    <w:uiPriority w:val="0"/>
    <w:qFormat/>
    <w:rPr>
      <w:rFonts w:cs="Times New Roman"/>
      <w:color w:val="000000"/>
      <w:spacing w:val="0"/>
      <w:w w:val="100"/>
      <w:sz w:val="23"/>
      <w:szCs w:val="23"/>
      <w:u w:val="none"/>
    </w:rPr>
  </w:style>
  <w:style w:type="character" w:styleId="ListLabel16" w:customStyle="1">
    <w:name w:val="ListLabel 16"/>
    <w:uiPriority w:val="0"/>
    <w:qFormat/>
    <w:rPr>
      <w:rFonts w:cs="Times New Roman"/>
      <w:color w:val="000000"/>
      <w:spacing w:val="0"/>
      <w:w w:val="100"/>
      <w:sz w:val="23"/>
      <w:szCs w:val="23"/>
      <w:u w:val="none"/>
    </w:rPr>
  </w:style>
  <w:style w:type="character" w:styleId="ListLabel17" w:customStyle="1">
    <w:name w:val="ListLabel 17"/>
    <w:uiPriority w:val="0"/>
    <w:qFormat/>
    <w:rPr>
      <w:rFonts w:cs="Times New Roman"/>
      <w:color w:val="000000"/>
      <w:spacing w:val="0"/>
      <w:w w:val="100"/>
      <w:sz w:val="23"/>
      <w:szCs w:val="23"/>
      <w:u w:val="none"/>
    </w:rPr>
  </w:style>
  <w:style w:type="character" w:styleId="ListLabel18" w:customStyle="1">
    <w:name w:val="ListLabel 18"/>
    <w:uiPriority w:val="0"/>
    <w:qFormat/>
    <w:rPr>
      <w:rFonts w:cs="Times New Roman"/>
      <w:color w:val="000000"/>
      <w:spacing w:val="0"/>
      <w:w w:val="100"/>
      <w:sz w:val="23"/>
      <w:szCs w:val="23"/>
      <w:u w:val="none"/>
    </w:rPr>
  </w:style>
  <w:style w:type="character" w:styleId="ListLabel19" w:customStyle="1">
    <w:name w:val="ListLabel 19"/>
    <w:uiPriority w:val="0"/>
    <w:qFormat/>
    <w:rPr>
      <w:rFonts w:cs="Times New Roman"/>
      <w:color w:val="000000"/>
      <w:spacing w:val="0"/>
      <w:w w:val="100"/>
      <w:sz w:val="23"/>
      <w:szCs w:val="23"/>
      <w:u w:val="none"/>
    </w:rPr>
  </w:style>
  <w:style w:type="character" w:styleId="ListLabel20" w:customStyle="1">
    <w:name w:val="ListLabel 20"/>
    <w:uiPriority w:val="0"/>
    <w:qFormat/>
    <w:rPr>
      <w:rFonts w:cs="Times New Roman"/>
      <w:color w:val="000000"/>
      <w:spacing w:val="0"/>
      <w:w w:val="100"/>
      <w:sz w:val="23"/>
      <w:szCs w:val="23"/>
      <w:u w:val="none"/>
    </w:rPr>
  </w:style>
  <w:style w:type="character" w:styleId="ListLabel21" w:customStyle="1">
    <w:name w:val="ListLabel 21"/>
    <w:uiPriority w:val="0"/>
    <w:qFormat/>
    <w:rPr>
      <w:rFonts w:cs="Times New Roman"/>
      <w:color w:val="000000"/>
      <w:spacing w:val="0"/>
      <w:w w:val="100"/>
      <w:sz w:val="23"/>
      <w:szCs w:val="23"/>
      <w:u w:val="none"/>
    </w:rPr>
  </w:style>
  <w:style w:type="character" w:styleId="ListLabel22" w:customStyle="1">
    <w:name w:val="ListLabel 22"/>
    <w:uiPriority w:val="0"/>
    <w:qFormat/>
    <w:rPr>
      <w:rFonts w:cs="Times New Roman"/>
      <w:color w:val="000000"/>
      <w:spacing w:val="0"/>
      <w:w w:val="100"/>
      <w:sz w:val="23"/>
      <w:szCs w:val="23"/>
      <w:u w:val="none"/>
    </w:rPr>
  </w:style>
  <w:style w:type="character" w:styleId="ListLabel23" w:customStyle="1">
    <w:name w:val="ListLabel 23"/>
    <w:uiPriority w:val="0"/>
    <w:qFormat/>
    <w:rPr>
      <w:rFonts w:cs="Times New Roman"/>
      <w:color w:val="000000"/>
      <w:spacing w:val="0"/>
      <w:w w:val="100"/>
      <w:sz w:val="23"/>
      <w:szCs w:val="23"/>
      <w:u w:val="none"/>
    </w:rPr>
  </w:style>
  <w:style w:type="character" w:styleId="ListLabel24" w:customStyle="1">
    <w:name w:val="ListLabel 24"/>
    <w:uiPriority w:val="0"/>
    <w:qFormat/>
    <w:rPr>
      <w:rFonts w:ascii="Times New Roman" w:hAnsi="Times New Roman" w:cs="Symbol"/>
      <w:sz w:val="24"/>
    </w:rPr>
  </w:style>
  <w:style w:type="character" w:styleId="ListLabel25" w:customStyle="1">
    <w:name w:val="ListLabel 25"/>
    <w:uiPriority w:val="0"/>
    <w:qFormat/>
    <w:rPr>
      <w:rFonts w:cs="Symbol"/>
    </w:rPr>
  </w:style>
  <w:style w:type="character" w:styleId="ListLabel26" w:customStyle="1">
    <w:name w:val="ListLabel 26"/>
    <w:uiPriority w:val="0"/>
    <w:qFormat/>
    <w:rPr>
      <w:rFonts w:cs="Symbol"/>
    </w:rPr>
  </w:style>
  <w:style w:type="character" w:styleId="ListLabel27" w:customStyle="1">
    <w:name w:val="ListLabel 27"/>
    <w:uiPriority w:val="0"/>
    <w:qFormat/>
    <w:rPr>
      <w:rFonts w:ascii="Times New Roman" w:hAnsi="Times New Roman" w:cs="Symbol"/>
      <w:sz w:val="24"/>
    </w:rPr>
  </w:style>
  <w:style w:type="character" w:styleId="ListLabel28" w:customStyle="1">
    <w:name w:val="ListLabel 28"/>
    <w:uiPriority w:val="0"/>
    <w:qFormat/>
    <w:rPr>
      <w:rFonts w:ascii="Times New Roman" w:hAnsi="Times New Roman" w:cs="Symbol"/>
      <w:sz w:val="24"/>
    </w:rPr>
  </w:style>
  <w:style w:type="character" w:styleId="ListLabel29" w:customStyle="1">
    <w:name w:val="ListLabel 29"/>
    <w:uiPriority w:val="0"/>
    <w:qFormat/>
    <w:rPr>
      <w:rFonts w:cs="Symbol"/>
    </w:rPr>
  </w:style>
  <w:style w:type="character" w:styleId="ListLabel30" w:customStyle="1">
    <w:name w:val="ListLabel 30"/>
    <w:uiPriority w:val="0"/>
    <w:qFormat/>
    <w:rPr>
      <w:rFonts w:cs="Symbol"/>
    </w:rPr>
  </w:style>
  <w:style w:type="character" w:styleId="ListLabel31" w:customStyle="1">
    <w:name w:val="ListLabel 31"/>
    <w:uiPriority w:val="0"/>
    <w:qFormat/>
    <w:rPr>
      <w:rFonts w:cs="Symbol"/>
      <w:sz w:val="24"/>
    </w:rPr>
  </w:style>
  <w:style w:type="character" w:styleId="ListLabel32" w:customStyle="1">
    <w:name w:val="ListLabel 32"/>
    <w:uiPriority w:val="0"/>
    <w:qFormat/>
    <w:rPr>
      <w:rFonts w:ascii="Times New Roman" w:hAnsi="Times New Roman" w:cs="Symbol"/>
      <w:sz w:val="24"/>
    </w:rPr>
  </w:style>
  <w:style w:type="character" w:styleId="ListLabel33" w:customStyle="1">
    <w:name w:val="ListLabel 33"/>
    <w:uiPriority w:val="0"/>
    <w:qFormat/>
    <w:rPr>
      <w:rFonts w:cs="Symbol"/>
    </w:rPr>
  </w:style>
  <w:style w:type="character" w:styleId="ListLabel34" w:customStyle="1">
    <w:name w:val="ListLabel 34"/>
    <w:uiPriority w:val="0"/>
    <w:qFormat/>
    <w:rPr>
      <w:rFonts w:cs="Symbol"/>
    </w:rPr>
  </w:style>
  <w:style w:type="character" w:styleId="ListLabel35" w:customStyle="1">
    <w:name w:val="ListLabel 35"/>
    <w:uiPriority w:val="0"/>
    <w:qFormat/>
    <w:rPr>
      <w:rFonts w:cs="Symbol"/>
      <w:sz w:val="24"/>
    </w:rPr>
  </w:style>
  <w:style w:type="character" w:styleId="ListLabel36" w:customStyle="1">
    <w:name w:val="ListLabel 36"/>
    <w:uiPriority w:val="0"/>
    <w:qFormat/>
    <w:rPr>
      <w:rFonts w:ascii="Times New Roman" w:hAnsi="Times New Roman" w:cs="Symbol"/>
      <w:sz w:val="24"/>
    </w:rPr>
  </w:style>
  <w:style w:type="character" w:styleId="ListLabel37" w:customStyle="1">
    <w:name w:val="ListLabel 37"/>
    <w:uiPriority w:val="0"/>
    <w:qFormat/>
    <w:rPr>
      <w:rFonts w:cs="Symbol"/>
    </w:rPr>
  </w:style>
  <w:style w:type="character" w:styleId="ListLabel38" w:customStyle="1">
    <w:name w:val="ListLabel 38"/>
    <w:uiPriority w:val="0"/>
    <w:qFormat/>
    <w:rPr>
      <w:rFonts w:cs="Symbol"/>
    </w:rPr>
  </w:style>
  <w:style w:type="character" w:styleId="ListLabel39" w:customStyle="1">
    <w:name w:val="ListLabel 39"/>
    <w:uiPriority w:val="0"/>
    <w:qFormat/>
    <w:rPr>
      <w:rFonts w:cs="Symbol"/>
      <w:sz w:val="24"/>
    </w:rPr>
  </w:style>
  <w:style w:type="character" w:styleId="ListLabel40" w:customStyle="1">
    <w:name w:val="ListLabel 40"/>
    <w:uiPriority w:val="0"/>
    <w:qFormat/>
    <w:rPr>
      <w:rFonts w:ascii="Times New Roman" w:hAnsi="Times New Roman" w:cs="Symbol"/>
      <w:sz w:val="24"/>
    </w:rPr>
  </w:style>
  <w:style w:type="character" w:styleId="ListLabel41" w:customStyle="1">
    <w:name w:val="ListLabel 41"/>
    <w:uiPriority w:val="0"/>
    <w:qFormat/>
    <w:rPr>
      <w:rFonts w:cs="Symbol"/>
    </w:rPr>
  </w:style>
  <w:style w:type="character" w:styleId="ListLabel42" w:customStyle="1">
    <w:name w:val="ListLabel 42"/>
    <w:uiPriority w:val="0"/>
    <w:qFormat/>
    <w:rPr>
      <w:rFonts w:cs="Symbol"/>
    </w:rPr>
  </w:style>
  <w:style w:type="character" w:styleId="ListLabel43" w:customStyle="1">
    <w:name w:val="ListLabel 43"/>
    <w:uiPriority w:val="0"/>
    <w:qFormat/>
    <w:rPr>
      <w:rFonts w:cs="Symbol"/>
      <w:sz w:val="24"/>
    </w:rPr>
  </w:style>
  <w:style w:type="character" w:styleId="ListLabel44" w:customStyle="1">
    <w:name w:val="ListLabel 44"/>
    <w:uiPriority w:val="0"/>
    <w:qFormat/>
    <w:rPr>
      <w:rFonts w:ascii="Times New Roman" w:hAnsi="Times New Roman" w:cs="Symbol"/>
      <w:sz w:val="24"/>
    </w:rPr>
  </w:style>
  <w:style w:type="character" w:styleId="ListLabel45" w:customStyle="1">
    <w:name w:val="ListLabel 45"/>
    <w:uiPriority w:val="0"/>
    <w:qFormat/>
    <w:rPr>
      <w:rFonts w:cs="Symbol"/>
    </w:rPr>
  </w:style>
  <w:style w:type="character" w:styleId="ListLabel46" w:customStyle="1">
    <w:name w:val="ListLabel 46"/>
    <w:uiPriority w:val="0"/>
    <w:qFormat/>
    <w:rPr>
      <w:rFonts w:cs="Symbol"/>
    </w:rPr>
  </w:style>
  <w:style w:type="character" w:styleId="ListLabel47" w:customStyle="1">
    <w:name w:val="ListLabel 47"/>
    <w:uiPriority w:val="0"/>
    <w:qFormat/>
    <w:rPr>
      <w:rFonts w:cs="Symbol"/>
      <w:sz w:val="24"/>
    </w:rPr>
  </w:style>
  <w:style w:type="character" w:styleId="ListLabel48" w:customStyle="1">
    <w:name w:val="ListLabel 48"/>
    <w:uiPriority w:val="0"/>
    <w:qFormat/>
    <w:rPr>
      <w:rFonts w:ascii="Times New Roman" w:hAnsi="Times New Roman" w:cs="Symbol"/>
      <w:sz w:val="24"/>
    </w:rPr>
  </w:style>
  <w:style w:type="character" w:styleId="ListLabel49" w:customStyle="1">
    <w:name w:val="ListLabel 49"/>
    <w:uiPriority w:val="0"/>
    <w:qFormat/>
    <w:rPr>
      <w:rFonts w:cs="Symbol"/>
    </w:rPr>
  </w:style>
  <w:style w:type="character" w:styleId="ListLabel50" w:customStyle="1">
    <w:name w:val="ListLabel 50"/>
    <w:uiPriority w:val="0"/>
    <w:qFormat/>
    <w:rPr>
      <w:rFonts w:cs="Symbol"/>
    </w:rPr>
  </w:style>
  <w:style w:type="character" w:styleId="ListLabel51" w:customStyle="1">
    <w:name w:val="ListLabel 51"/>
    <w:uiPriority w:val="0"/>
    <w:qFormat/>
    <w:rPr>
      <w:rFonts w:cs="Symbol"/>
      <w:sz w:val="24"/>
    </w:rPr>
  </w:style>
  <w:style w:type="character" w:styleId="ListLabel52" w:customStyle="1">
    <w:name w:val="ListLabel 52"/>
    <w:uiPriority w:val="0"/>
    <w:qFormat/>
    <w:rPr>
      <w:rFonts w:ascii="Times New Roman" w:hAnsi="Times New Roman" w:cs="Symbol"/>
      <w:sz w:val="24"/>
    </w:rPr>
  </w:style>
  <w:style w:type="character" w:styleId="ListLabel53" w:customStyle="1">
    <w:name w:val="ListLabel 53"/>
    <w:uiPriority w:val="0"/>
    <w:qFormat/>
    <w:rPr>
      <w:rFonts w:cs="Symbol"/>
    </w:rPr>
  </w:style>
  <w:style w:type="character" w:styleId="ListLabel54" w:customStyle="1">
    <w:name w:val="ListLabel 54"/>
    <w:uiPriority w:val="0"/>
    <w:qFormat/>
    <w:rPr>
      <w:rFonts w:cs="Symbol"/>
      <w:sz w:val="24"/>
    </w:rPr>
  </w:style>
  <w:style w:type="character" w:styleId="ListLabel55" w:customStyle="1">
    <w:name w:val="ListLabel 55"/>
    <w:uiPriority w:val="0"/>
    <w:qFormat/>
    <w:rPr>
      <w:rFonts w:ascii="Times New Roman" w:hAnsi="Times New Roman" w:cs="Symbol"/>
      <w:sz w:val="24"/>
    </w:rPr>
  </w:style>
  <w:style w:type="character" w:styleId="ListLabel56" w:customStyle="1">
    <w:name w:val="ListLabel 56"/>
    <w:uiPriority w:val="0"/>
    <w:qFormat/>
    <w:rPr>
      <w:rFonts w:cs="Symbol"/>
      <w:sz w:val="24"/>
    </w:rPr>
  </w:style>
  <w:style w:type="character" w:styleId="ListLabel57" w:customStyle="1">
    <w:name w:val="ListLabel 57"/>
    <w:uiPriority w:val="0"/>
    <w:qFormat/>
    <w:rPr>
      <w:rFonts w:cs="Symbol"/>
    </w:rPr>
  </w:style>
  <w:style w:type="character" w:styleId="ListLabel58" w:customStyle="1">
    <w:name w:val="ListLabel 58"/>
    <w:uiPriority w:val="0"/>
    <w:qFormat/>
    <w:rPr>
      <w:rFonts w:ascii="Times New Roman" w:hAnsi="Times New Roman" w:cs="Symbol"/>
      <w:sz w:val="24"/>
    </w:rPr>
  </w:style>
  <w:style w:type="character" w:styleId="ListLabel59" w:customStyle="1">
    <w:name w:val="ListLabel 59"/>
    <w:uiPriority w:val="0"/>
    <w:qFormat/>
    <w:rPr>
      <w:rFonts w:cs="Symbol"/>
      <w:sz w:val="24"/>
    </w:rPr>
  </w:style>
  <w:style w:type="character" w:styleId="ListLabel60" w:customStyle="1">
    <w:name w:val="ListLabel 60"/>
    <w:uiPriority w:val="0"/>
    <w:qFormat/>
    <w:rPr>
      <w:rFonts w:cs="Symbol"/>
    </w:rPr>
  </w:style>
  <w:style w:type="character" w:styleId="ListLabel61">
    <w:name w:val="ListLabel 61"/>
    <w:qFormat/>
    <w:rPr>
      <w:rFonts w:ascii="Times New Roman" w:hAnsi="Times New Roman" w:cs="Symbol"/>
      <w:sz w:val="24"/>
    </w:rPr>
  </w:style>
  <w:style w:type="character" w:styleId="ListLabel62">
    <w:name w:val="ListLabel 62"/>
    <w:qFormat/>
    <w:rPr>
      <w:rFonts w:cs="Symbol"/>
      <w:sz w:val="24"/>
    </w:rPr>
  </w:style>
  <w:style w:type="character" w:styleId="ListLabel63">
    <w:name w:val="ListLabel 63"/>
    <w:qFormat/>
    <w:rPr>
      <w:rFonts w:cs="Symbol"/>
    </w:rPr>
  </w:style>
  <w:style w:type="paragraph" w:styleId="Style19" w:customStyle="1">
    <w:name w:val="Заголовок"/>
    <w:basedOn w:val="Normal"/>
    <w:next w:val="Style20"/>
    <w:uiPriority w:val="0"/>
    <w:qFormat/>
    <w:pPr>
      <w:keepNext w:val="true"/>
      <w:spacing w:before="240" w:after="120"/>
    </w:pPr>
    <w:rPr>
      <w:rFonts w:ascii="Liberation Sans" w:hAnsi="Liberation Sans" w:eastAsia="Noto Sans CJK SC" w:cs="Lohit Devanagari"/>
      <w:sz w:val="28"/>
      <w:szCs w:val="28"/>
    </w:rPr>
  </w:style>
  <w:style w:type="paragraph" w:styleId="Style20">
    <w:name w:val="Body Text"/>
    <w:basedOn w:val="Normal"/>
    <w:uiPriority w:val="99"/>
    <w:qFormat/>
    <w:pPr>
      <w:shd w:val="clear" w:color="auto" w:fill="FFFFFF"/>
      <w:spacing w:lineRule="exact" w:line="264" w:before="480" w:after="0"/>
      <w:jc w:val="both"/>
    </w:pPr>
    <w:rPr>
      <w:rFonts w:cs="Mangal"/>
      <w:sz w:val="23"/>
      <w:szCs w:val="23"/>
      <w:lang w:val="en-US" w:eastAsia="ru-RU" w:bidi="hi-IN"/>
    </w:rPr>
  </w:style>
  <w:style w:type="paragraph" w:styleId="Style21">
    <w:name w:val="List"/>
    <w:basedOn w:val="Style20"/>
    <w:uiPriority w:val="0"/>
    <w:qFormat/>
    <w:pPr>
      <w:shd w:val="clear" w:fill="FFFFFF"/>
    </w:pPr>
    <w:rPr>
      <w:rFonts w:cs="Lohit Devanagari"/>
    </w:rPr>
  </w:style>
  <w:style w:type="paragraph" w:styleId="Style22">
    <w:name w:val="Caption"/>
    <w:basedOn w:val="Normal"/>
    <w:qFormat/>
    <w:pPr>
      <w:suppressLineNumbers/>
      <w:spacing w:before="120" w:after="120"/>
    </w:pPr>
    <w:rPr>
      <w:rFonts w:ascii="Calibri" w:hAnsi="Calibri" w:cs="FreeSans"/>
      <w:i/>
      <w:iCs/>
      <w:sz w:val="24"/>
      <w:szCs w:val="24"/>
    </w:rPr>
  </w:style>
  <w:style w:type="paragraph" w:styleId="Style23">
    <w:name w:val="Указатель"/>
    <w:basedOn w:val="Normal"/>
    <w:qFormat/>
    <w:pPr>
      <w:suppressLineNumbers/>
    </w:pPr>
    <w:rPr>
      <w:rFonts w:ascii="Calibri" w:hAnsi="Calibri" w:cs="FreeSans"/>
    </w:rPr>
  </w:style>
  <w:style w:type="paragraph" w:styleId="BalloonText">
    <w:name w:val="Balloon Text"/>
    <w:basedOn w:val="Normal"/>
    <w:uiPriority w:val="99"/>
    <w:semiHidden/>
    <w:qFormat/>
    <w:pPr>
      <w:spacing w:lineRule="auto" w:line="240" w:before="0" w:after="0"/>
    </w:pPr>
    <w:rPr>
      <w:rFonts w:ascii="Tahoma" w:hAnsi="Tahoma" w:cs="Tahoma"/>
      <w:sz w:val="16"/>
      <w:szCs w:val="16"/>
    </w:rPr>
  </w:style>
  <w:style w:type="paragraph" w:styleId="Caption">
    <w:name w:val="caption"/>
    <w:basedOn w:val="Normal"/>
    <w:next w:val="Normal"/>
    <w:uiPriority w:val="0"/>
    <w:qFormat/>
    <w:pPr>
      <w:suppressLineNumbers/>
      <w:spacing w:before="120" w:after="120"/>
    </w:pPr>
    <w:rPr>
      <w:rFonts w:cs="Lohit Devanagari"/>
      <w:i/>
      <w:iCs/>
      <w:sz w:val="24"/>
      <w:szCs w:val="24"/>
    </w:rPr>
  </w:style>
  <w:style w:type="paragraph" w:styleId="Annotationtext">
    <w:name w:val="annotation text"/>
    <w:basedOn w:val="Normal"/>
    <w:uiPriority w:val="99"/>
    <w:semiHidden/>
    <w:qFormat/>
    <w:pPr>
      <w:spacing w:lineRule="auto" w:line="240"/>
    </w:pPr>
    <w:rPr>
      <w:sz w:val="20"/>
      <w:szCs w:val="20"/>
    </w:rPr>
  </w:style>
  <w:style w:type="paragraph" w:styleId="Index1">
    <w:name w:val="index 1"/>
    <w:basedOn w:val="Normal"/>
    <w:next w:val="Normal"/>
    <w:uiPriority w:val="99"/>
    <w:semiHidden/>
    <w:unhideWhenUsed/>
    <w:qFormat/>
    <w:pPr/>
    <w:rPr/>
  </w:style>
  <w:style w:type="paragraph" w:styleId="Annotationsubject">
    <w:name w:val="annotation subject"/>
    <w:basedOn w:val="Annotationtext"/>
    <w:next w:val="Annotationtext"/>
    <w:uiPriority w:val="99"/>
    <w:semiHidden/>
    <w:qFormat/>
    <w:pPr/>
    <w:rPr>
      <w:b/>
      <w:bCs/>
    </w:rPr>
  </w:style>
  <w:style w:type="paragraph" w:styleId="Indexheading">
    <w:name w:val="index heading"/>
    <w:basedOn w:val="Normal"/>
    <w:next w:val="Index1"/>
    <w:uiPriority w:val="0"/>
    <w:qFormat/>
    <w:pPr>
      <w:suppressLineNumbers/>
    </w:pPr>
    <w:rPr>
      <w:rFonts w:cs="Lohit Devanagari"/>
    </w:rPr>
  </w:style>
  <w:style w:type="paragraph" w:styleId="NormalWeb">
    <w:name w:val="Normal (Web)"/>
    <w:basedOn w:val="Normal"/>
    <w:uiPriority w:val="99"/>
    <w:qFormat/>
    <w:pPr>
      <w:spacing w:lineRule="auto" w:line="240" w:beforeAutospacing="1" w:afterAutospacing="1"/>
    </w:pPr>
    <w:rPr>
      <w:rFonts w:ascii="Times New Roman" w:hAnsi="Times New Roman" w:eastAsia="Times New Roman"/>
      <w:sz w:val="24"/>
      <w:szCs w:val="24"/>
      <w:lang w:eastAsia="ru-RU"/>
    </w:rPr>
  </w:style>
  <w:style w:type="paragraph" w:styleId="22" w:customStyle="1">
    <w:name w:val="Основной текст (2)"/>
    <w:basedOn w:val="Normal"/>
    <w:link w:val="22"/>
    <w:uiPriority w:val="99"/>
    <w:qFormat/>
    <w:pPr>
      <w:shd w:val="clear" w:color="auto" w:fill="FFFFFF"/>
      <w:spacing w:lineRule="atLeast" w:line="240" w:before="60" w:after="180"/>
    </w:pPr>
    <w:rPr>
      <w:rFonts w:ascii="Times New Roman" w:hAnsi="Times New Roman" w:cs="Mangal"/>
      <w:b/>
      <w:bCs/>
      <w:sz w:val="23"/>
      <w:szCs w:val="23"/>
      <w:lang w:val="en-US" w:bidi="hi-IN"/>
    </w:rPr>
  </w:style>
  <w:style w:type="paragraph" w:styleId="11" w:customStyle="1">
    <w:name w:val="Указатель11"/>
    <w:basedOn w:val="Normal"/>
    <w:uiPriority w:val="0"/>
    <w:qFormat/>
    <w:pPr>
      <w:suppressLineNumbers/>
    </w:pPr>
    <w:rPr>
      <w:rFonts w:ascii="Calibri" w:hAnsi="Calibri" w:cs="FreeSans"/>
    </w:rPr>
  </w:style>
  <w:style w:type="paragraph" w:styleId="1" w:customStyle="1">
    <w:name w:val="Указатель1"/>
    <w:basedOn w:val="Normal"/>
    <w:uiPriority w:val="0"/>
    <w:qFormat/>
    <w:pPr>
      <w:suppressLineNumbers/>
    </w:pPr>
    <w:rPr>
      <w:rFonts w:ascii="Calibri" w:hAnsi="Calibri" w:cs="FreeSans"/>
    </w:rPr>
  </w:style>
  <w:style w:type="paragraph" w:styleId="NoSpacing">
    <w:name w:val="No Spacing"/>
    <w:uiPriority w:val="99"/>
    <w:qFormat/>
    <w:pPr>
      <w:widowControl/>
      <w:bidi w:val="0"/>
      <w:jc w:val="left"/>
    </w:pPr>
    <w:rPr>
      <w:rFonts w:ascii="Calibri" w:hAnsi="Calibri" w:eastAsia="Calibri" w:cs="Times New Roman"/>
      <w:color w:val="auto"/>
      <w:kern w:val="0"/>
      <w:sz w:val="22"/>
      <w:szCs w:val="22"/>
      <w:lang w:val="uk-UA" w:eastAsia="en-US" w:bidi="ar-SA"/>
    </w:rPr>
  </w:style>
  <w:style w:type="paragraph" w:styleId="ListParagraph">
    <w:name w:val="List Paragraph"/>
    <w:basedOn w:val="Normal"/>
    <w:uiPriority w:val="99"/>
    <w:qFormat/>
    <w:pPr>
      <w:spacing w:before="0" w:after="200"/>
      <w:ind w:left="720" w:hanging="0"/>
      <w:contextualSpacing/>
    </w:pPr>
    <w:rPr/>
  </w:style>
  <w:style w:type="paragraph" w:styleId="12" w:customStyle="1">
    <w:name w:val="ÐÐ±Ð·Ð°Ñ† ÑÐ¿Ð¸ÑÐºÐ°1"/>
    <w:basedOn w:val="Normal"/>
    <w:uiPriority w:val="0"/>
    <w:qFormat/>
    <w:pPr>
      <w:ind w:left="720" w:hanging="0"/>
    </w:pPr>
    <w:rPr/>
  </w:style>
  <w:style w:type="table" w:default="1" w:styleId="3">
    <w:name w:val="Normal Table"/>
    <w:uiPriority w:val="99"/>
    <w:semiHidden/>
    <w:unhideWhenUsed/>
    <w:qFormat/>
    <w:tblPr>
      <w:tblCellMar>
        <w:top w:w="0" w:type="dxa"/>
        <w:left w:w="108" w:type="dxa"/>
        <w:bottom w:w="0" w:type="dxa"/>
        <w:right w:w="108" w:type="dxa"/>
      </w:tblCellMar>
    </w:tblPr>
  </w:style>
  <w:style w:type="table" w:styleId="14">
    <w:name w:val="Table Grid"/>
    <w:basedOn w:val="3"/>
    <w:uiPriority w:val="99"/>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Application>LibreOffice/6.2.8.2$Linux_X86_64 LibreOffice_project/20$Build-2</Application>
  <Pages>6</Pages>
  <Words>1607</Words>
  <Characters>11465</Characters>
  <CharactersWithSpaces>13011</CharactersWithSpaces>
  <Paragraphs>89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2022-12-16T15:39:00Z</dcterms:created>
  <dc:creator>Nigmatullina Tatyana</dc:creator>
  <dc:description/>
  <dc:language>ru-RU</dc:language>
  <cp:lastModifiedBy/>
  <cp:lastPrinted>2023-05-18T15:38:48Z</cp:lastPrinted>
  <dcterms:modified xsi:type="dcterms:W3CDTF">2023-05-19T08:40:46Z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KSOProductBuildVer">
    <vt:lpwstr>1049-11.1.0.9719</vt:lpwstr>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